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210" w:right="-210"/>
        <w:jc w:val="left"/>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left="-210" w:right="-21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left="-210" w:right="-21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spacing w:line="480" w:lineRule="auto"/>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t xml:space="preserve">昆 山 市 政 府 采 购</w:t>
      </w:r>
      <w:r/>
    </w:p>
    <w:p>
      <w:pPr>
        <w:jc w:val="center"/>
        <w:spacing w:line="480" w:lineRule="auto"/>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t xml:space="preserve">竞争性谈判采购文件</w:t>
      </w:r>
      <w:r/>
    </w:p>
    <w:p>
      <w:pPr>
        <w:ind w:right="-21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68"/>
        <w:tblW w:w="0" w:type="auto"/>
        <w:jc w:val="center"/>
        <w:tblLayout w:type="fixed"/>
        <w:tblCellMar>
          <w:left w:w="10" w:type="dxa"/>
          <w:top w:w="0" w:type="dxa"/>
          <w:right w:w="10" w:type="dxa"/>
          <w:bottom w:w="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采购编号：</w:t>
            </w:r>
            <w:r/>
          </w:p>
        </w:tc>
        <w:tc>
          <w:tcPr>
            <w:tcBorders>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sz w:val="32"/>
                <w:highlight w:val="none"/>
                <w:lang w:eastAsia="zh-CN"/>
                <w14:textFill>
                  <w14:solidFill>
                    <w14:schemeClr w14:val="tx1"/>
                  </w14:solidFill>
                </w14:textFill>
              </w:rPr>
              <w:t xml:space="preserve">JSZC-320583-HTJS-T2026-0002</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采 购 人：</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昆山市中医医院 </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昆山市中医医院数字化病案扫描项目</w:t>
            </w:r>
            <w:r/>
          </w:p>
        </w:tc>
      </w:tr>
    </w:tbl>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8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江苏恒泰建设工程咨询有限公司</w:t>
      </w:r>
      <w:r/>
    </w:p>
    <w:p>
      <w:pPr>
        <w:jc w:val="center"/>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eastAsia="宋体" w:cs="宋体"/>
          <w:color w:val="000000" w:themeColor="text1"/>
          <w:sz w:val="28"/>
          <w:highlight w:val="none"/>
          <w14:textFill>
            <w14:solidFill>
              <w14:schemeClr w14:val="tx1"/>
            </w14:solidFill>
          </w14:textFill>
        </w:rPr>
        <w:br w:type="page" w:clear="all"/>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目   录</w:t>
      </w:r>
      <w:r/>
    </w:p>
    <w:p>
      <w:pPr>
        <w:pStyle w:val="793"/>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TOC \o "1-4" \h \z \u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_Toc29843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第一章、谈判邀请函</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_Toc29843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3"/>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_Toc23310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第二章、供应商须知</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_Toc23310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3"/>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_Toc29530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第三章、谈判响应文件格式</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_Toc29530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13</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801"/>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_Toc12845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lang w:eastAsia="zh-CN"/>
          <w14:textFill>
            <w14:solidFill>
              <w14:schemeClr w14:val="tx1"/>
            </w14:solidFill>
          </w14:textFill>
        </w:rPr>
        <w:t xml:space="preserve">1、（供应方）法定代表人授权委托书</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_Toc12845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14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801"/>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_Toc24000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eastAsia="zh-CN"/>
          <w14:textFill>
            <w14:solidFill>
              <w14:schemeClr w14:val="tx1"/>
            </w14:solidFill>
          </w14:textFill>
        </w:rPr>
        <w:t xml:space="preserve">2、谈判响应函</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_Toc24000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15</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801"/>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_Toc25933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eastAsia="zh-CN"/>
          <w14:textFill>
            <w14:solidFill>
              <w14:schemeClr w14:val="tx1"/>
            </w14:solidFill>
          </w14:textFill>
        </w:rPr>
        <w:t xml:space="preserve">3、投标承诺函</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_Toc25933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16</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801"/>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_Toc10371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lang w:eastAsia="zh-CN"/>
          <w14:textFill>
            <w14:solidFill>
              <w14:schemeClr w14:val="tx1"/>
            </w14:solidFill>
          </w14:textFill>
        </w:rPr>
        <w:t xml:space="preserve">4、谈判报价表</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_Toc10371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17</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801"/>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_Toc10044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lang w:eastAsia="zh-CN"/>
          <w14:textFill>
            <w14:solidFill>
              <w14:schemeClr w14:val="tx1"/>
            </w14:solidFill>
          </w14:textFill>
        </w:rPr>
        <w:t xml:space="preserve">5、中小企业声明函</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_Toc10044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19</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801"/>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_Toc4149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lang w:eastAsia="zh-CN"/>
          <w14:textFill>
            <w14:solidFill>
              <w14:schemeClr w14:val="tx1"/>
            </w14:solidFill>
          </w14:textFill>
        </w:rPr>
        <w:t xml:space="preserve">6、附件残疾人福利性单位声明函</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_Toc4149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23</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801"/>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_Toc11088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lang w:eastAsia="zh-CN"/>
          <w14:textFill>
            <w14:solidFill>
              <w14:schemeClr w14:val="tx1"/>
            </w14:solidFill>
          </w14:textFill>
        </w:rPr>
        <w:t xml:space="preserve">7、响应服务性能、技术指标说明与描述</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_Toc11088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26</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801"/>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_Toc1942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lang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、技术要求偏离表</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_Toc1942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27</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801"/>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_Toc6894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lang w:eastAsia="zh-CN"/>
          <w14:textFill>
            <w14:solidFill>
              <w14:schemeClr w14:val="tx1"/>
            </w14:solidFill>
          </w14:textFill>
        </w:rPr>
        <w:t xml:space="preserve">9、商务条款偏离表</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_Toc6894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27</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801"/>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_Toc5531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lang w:eastAsia="zh-CN"/>
          <w14:textFill>
            <w14:solidFill>
              <w14:schemeClr w14:val="tx1"/>
            </w14:solidFill>
          </w14:textFill>
        </w:rPr>
        <w:t xml:space="preserve">10、资格证明声明函</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_Toc5531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28</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801"/>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_Toc16362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lang w:eastAsia="zh-CN"/>
          <w14:textFill>
            <w14:solidFill>
              <w14:schemeClr w14:val="tx1"/>
            </w14:solidFill>
          </w14:textFill>
        </w:rPr>
        <w:t xml:space="preserve">11、投标单位情况表</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_Toc16362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29</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3"/>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_Toc2219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_Toc2219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30</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3"/>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_Toc21326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32"/>
          <w:highlight w:val="none"/>
          <w14:textFill>
            <w14:solidFill>
              <w14:schemeClr w14:val="tx1"/>
            </w14:solidFill>
          </w14:textFill>
        </w:rPr>
        <w:t xml:space="preserve">第五章 合同主要条款</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_Toc21326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35</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93"/>
        <w:tabs>
          <w:tab w:val="right" w:pos="9638"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_Toc20707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第六章 合格性评审办法</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_Toc20707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39</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8"/>
        <w:ind w:firstLine="600"/>
        <w:jc w:val="center"/>
        <w:keepNext w:val="0"/>
        <w:spacing w:line="360" w:lineRule="auto"/>
        <w:rPr>
          <w:rFonts w:hint="eastAsia" w:ascii="宋体" w:hAnsi="宋体" w:eastAsia="宋体" w:cs="宋体"/>
          <w:b/>
          <w:color w:val="000000" w:themeColor="text1"/>
          <w:highlight w:val="none"/>
          <w14:textFill>
            <w14:solidFill>
              <w14:schemeClr w14:val="tx1"/>
            </w14:solidFill>
          </w14:textFill>
        </w:rPr>
        <w:sectPr>
          <w:footerReference w:type="default" r:id="rId12"/>
          <w:footnotePr/>
          <w:endnotePr/>
          <w:type w:val="nextPage"/>
          <w:pgSz w:w="11906" w:h="16838" w:orient="portrait"/>
          <w:pgMar w:top="1134" w:right="1134" w:bottom="1134" w:left="1134" w:header="851" w:footer="680" w:gutter="0"/>
          <w:cols w:num="1" w:sep="0" w:space="1701" w:equalWidth="1"/>
          <w:docGrid w:linePitch="360"/>
        </w:sectPr>
      </w:pPr>
      <w:r>
        <w:rPr>
          <w:rFonts w:hint="eastAsia" w:ascii="宋体" w:hAnsi="宋体" w:eastAsia="宋体" w:cs="宋体"/>
          <w:b/>
          <w:color w:val="000000" w:themeColor="text1"/>
          <w:highlight w:val="none"/>
          <w14:textFill>
            <w14:solidFill>
              <w14:schemeClr w14:val="tx1"/>
            </w14:solidFill>
          </w14:textFill>
        </w:rPr>
      </w:r>
      <w:r/>
    </w:p>
    <w:p>
      <w:pPr>
        <w:pStyle w:val="758"/>
        <w:ind w:firstLine="600"/>
        <w:jc w:val="center"/>
        <w:keepNext w:val="0"/>
        <w:spacing w:line="360" w:lineRule="auto"/>
        <w:rPr>
          <w:rFonts w:hint="eastAsia" w:ascii="宋体" w:hAnsi="宋体" w:eastAsia="宋体" w:cs="宋体"/>
          <w:b/>
          <w:color w:val="000000" w:themeColor="text1"/>
          <w:highlight w:val="none"/>
          <w14:textFill>
            <w14:solidFill>
              <w14:schemeClr w14:val="tx1"/>
            </w14:solidFill>
          </w14:textFill>
        </w:rPr>
      </w:pPr>
      <w:r/>
      <w:bookmarkStart w:id="0" w:name="_Toc29843"/>
      <w:r>
        <w:rPr>
          <w:rFonts w:hint="eastAsia" w:ascii="宋体" w:hAnsi="宋体" w:eastAsia="宋体" w:cs="宋体"/>
          <w:b/>
          <w:color w:val="000000" w:themeColor="text1"/>
          <w:highlight w:val="none"/>
          <w14:textFill>
            <w14:solidFill>
              <w14:schemeClr w14:val="tx1"/>
            </w14:solidFill>
          </w14:textFill>
        </w:rPr>
        <w:t xml:space="preserve">第一章、谈判邀请函</w:t>
      </w:r>
      <w:bookmarkEnd w:id="0"/>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1" w:name="_Toc28359002"/>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江苏恒泰建设工程咨询有限公司</w:t>
      </w:r>
      <w:r>
        <w:rPr>
          <w:rFonts w:hint="eastAsia" w:ascii="宋体" w:hAnsi="宋体" w:eastAsia="宋体" w:cs="宋体"/>
          <w:color w:val="000000" w:themeColor="text1"/>
          <w:sz w:val="21"/>
          <w:szCs w:val="21"/>
          <w:highlight w:val="none"/>
          <w14:textFill>
            <w14:solidFill>
              <w14:schemeClr w14:val="tx1"/>
            </w14:solidFill>
          </w14:textFill>
        </w:rPr>
        <w:t xml:space="preserve">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昆山市中医医院 </w:t>
      </w:r>
      <w:r>
        <w:rPr>
          <w:rFonts w:hint="eastAsia" w:ascii="宋体" w:hAnsi="宋体" w:eastAsia="宋体" w:cs="宋体"/>
          <w:color w:val="000000" w:themeColor="text1"/>
          <w:sz w:val="21"/>
          <w:szCs w:val="21"/>
          <w:highlight w:val="none"/>
          <w14:textFill>
            <w14:solidFill>
              <w14:schemeClr w14:val="tx1"/>
            </w14:solidFill>
          </w14:textFill>
        </w:rPr>
        <w:t xml:space="preserve">委托，为其拟采购的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昆山市中医医院数字化病案扫描项目</w:t>
      </w:r>
      <w:r>
        <w:rPr>
          <w:rFonts w:hint="eastAsia" w:ascii="宋体" w:hAnsi="宋体" w:eastAsia="宋体" w:cs="宋体"/>
          <w:color w:val="000000" w:themeColor="text1"/>
          <w:sz w:val="21"/>
          <w:szCs w:val="21"/>
          <w:highlight w:val="none"/>
          <w14:textFill>
            <w14:solidFill>
              <w14:schemeClr w14:val="tx1"/>
            </w14:solidFill>
          </w14:textFill>
        </w:rPr>
        <w:t xml:space="preserve">组织竞争性谈判，欢迎符合条件的供应商前来参与。</w:t>
      </w:r>
      <w:r/>
    </w:p>
    <w:p>
      <w:pPr>
        <w:ind w:right="178" w:firstLine="420"/>
        <w:keepLines w:val="0"/>
        <w:keepNext w:val="0"/>
        <w:pageBreakBefore w:val="0"/>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一、项目基本情况</w:t>
      </w:r>
      <w:r/>
    </w:p>
    <w:p>
      <w:pPr>
        <w:numPr>
          <w:ilvl w:val="0"/>
          <w:numId w:val="3"/>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JSZC-320583-HTJS-T2026-0002</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numPr>
          <w:ilvl w:val="0"/>
          <w:numId w:val="3"/>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昆山市中医医院数字化病案扫描项目</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numPr>
          <w:ilvl w:val="0"/>
          <w:numId w:val="3"/>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采购方式:竞争性谈判；</w:t>
      </w:r>
      <w:r/>
    </w:p>
    <w:p>
      <w:pPr>
        <w:numPr>
          <w:ilvl w:val="0"/>
          <w:numId w:val="3"/>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预算金额：人民币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玖拾捌万</w:t>
      </w:r>
      <w:r>
        <w:rPr>
          <w:rFonts w:hint="eastAsia" w:ascii="宋体" w:hAnsi="宋体" w:eastAsia="宋体" w:cs="宋体"/>
          <w:color w:val="000000" w:themeColor="text1"/>
          <w:sz w:val="21"/>
          <w:szCs w:val="21"/>
          <w:highlight w:val="none"/>
          <w14:textFill>
            <w14:solidFill>
              <w14:schemeClr w14:val="tx1"/>
            </w14:solidFill>
          </w14:textFill>
        </w:rPr>
        <w:t xml:space="preserve">元整（¥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980000.00</w:t>
      </w:r>
      <w:r>
        <w:rPr>
          <w:rFonts w:hint="eastAsia" w:ascii="宋体" w:hAnsi="宋体" w:eastAsia="宋体" w:cs="宋体"/>
          <w:color w:val="000000" w:themeColor="text1"/>
          <w:sz w:val="21"/>
          <w:szCs w:val="21"/>
          <w:highlight w:val="none"/>
          <w14:textFill>
            <w14:solidFill>
              <w14:schemeClr w14:val="tx1"/>
            </w14:solidFill>
          </w14:textFill>
        </w:rPr>
        <w:t xml:space="preserve">元）；</w:t>
      </w:r>
      <w:r/>
    </w:p>
    <w:p>
      <w:pPr>
        <w:numPr>
          <w:ilvl w:val="0"/>
          <w:numId w:val="3"/>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最高限价：人民币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玖拾捌万</w:t>
      </w:r>
      <w:r>
        <w:rPr>
          <w:rFonts w:hint="eastAsia" w:ascii="宋体" w:hAnsi="宋体" w:eastAsia="宋体" w:cs="宋体"/>
          <w:color w:val="000000" w:themeColor="text1"/>
          <w:sz w:val="21"/>
          <w:szCs w:val="21"/>
          <w:highlight w:val="none"/>
          <w14:textFill>
            <w14:solidFill>
              <w14:schemeClr w14:val="tx1"/>
            </w14:solidFill>
          </w14:textFill>
        </w:rPr>
        <w:t xml:space="preserve">元整（¥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980000.00</w:t>
      </w:r>
      <w:r>
        <w:rPr>
          <w:rFonts w:hint="eastAsia" w:ascii="宋体" w:hAnsi="宋体" w:eastAsia="宋体" w:cs="宋体"/>
          <w:color w:val="000000" w:themeColor="text1"/>
          <w:sz w:val="21"/>
          <w:szCs w:val="21"/>
          <w:highlight w:val="none"/>
          <w14:textFill>
            <w14:solidFill>
              <w14:schemeClr w14:val="tx1"/>
            </w14:solidFill>
          </w14:textFill>
        </w:rPr>
        <w:t xml:space="preserve">元）；</w:t>
      </w:r>
      <w:r/>
    </w:p>
    <w:p>
      <w:pPr>
        <w:numPr>
          <w:ilvl w:val="0"/>
          <w:numId w:val="3"/>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采购需求：</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对2020年、2021年、2024年下半年的住院病历进行扫描归档，详见第四章</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numPr>
          <w:ilvl w:val="0"/>
          <w:numId w:val="3"/>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合同履行期限：</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1年</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numPr>
          <w:ilvl w:val="0"/>
          <w:numId w:val="3"/>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1"/>
          <w:szCs w:val="21"/>
          <w:highlight w:val="none"/>
          <w14:textFill>
            <w14:solidFill>
              <w14:schemeClr w14:val="tx1"/>
            </w14:solidFill>
          </w14:textFill>
        </w:rPr>
        <w:t xml:space="preserve">接受联合体投标。</w:t>
      </w:r>
      <w:r/>
    </w:p>
    <w:p>
      <w:pPr>
        <w:ind w:right="178" w:firstLine="420"/>
        <w:keepLines w:val="0"/>
        <w:keepNext w:val="0"/>
        <w:pageBreakBefore w:val="0"/>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二、申请人的资格要求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2.落实政府采购政策需满足的资格要求：</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本项目专门面向中小企业采购，残疾人福利性单位、监狱企业视同小型、微型企业；</w:t>
      </w:r>
      <w:r/>
    </w:p>
    <w:p>
      <w:pPr>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3.本项目的特定资格条件：无；</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注: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三、获取谈判文件</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1.获取谈判文件时间：上网之日起至2026年01月21日23:59（北京时间）；</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2.获取谈判文件方式：登录“苏采云”系统自行下载本项目招标文件；</w:t>
      </w:r>
      <w:r/>
    </w:p>
    <w:p>
      <w:pPr>
        <w:ind w:firstLine="420"/>
        <w:keepLines w:val="0"/>
        <w:keepNext w:val="0"/>
        <w:pageBreakBefore w:val="0"/>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3.谈判文件售价：0元。 </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 </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四、提交响应文件截止时间、开标时间和地点</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本项目采用电子化采购模式，供应商须网上提交响应文件，并可通过远程开标方式完成开标。</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1.提交响应文件截</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止时间：2026年01月27日</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:30（北京时间）；</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2.远程开标时间：2026年01月27日</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:30（北京时间）；</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3.远程CA解密时间：以开标时“苏采云”系统为准；</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4.开标地点：“苏采云”系统（网址：http://jszfcg.jsczt.cn/）。</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五、公告信息</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1.本公告在江苏政府采购网、苏州市政府采购网发布；</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2.公告期限：自本公告发布之日起3个工作日。</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六、</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其它补充事宜</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1.CA证书办理</w:t>
      </w:r>
      <w:r/>
    </w:p>
    <w:p>
      <w:pPr>
        <w:ind w:right="-252"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苏州现场办理地址：</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苏州市高新区邓尉路105号狮山科技馆一楼服务大厅，咨询电话：0512-65737699。</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2.参与采购活动</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3.电子投标准备</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注册咨询：18261002950；</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CA技术咨询电话：400-608-6099；</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签章使用问题：025-83633811、025-83633812、15380932027、15371015030；</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系统使用指导与咨询：联系电话：18261002950；QQ：3048755361、1315179389、895706745。</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4.远程开标支持计算机端，投标人可根据“《苏采云系统供应商操作手册》（网址链接https://czju.suzhou.gov.cn/zfcg/html/content/20231220161910031.shtml）进行操作。</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6.本项目以电子投标文件的内容为准，不再收取纸质投标文件及相关原件等纸质材料。</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7.昆山市财政局监督电话：0512-57310854。</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8.投标人在参加政府采购活动时须遵守《昆山市政府采购供应商诚信管理办法》的相关规定。</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七、凡对本次采购提出询问，请按以下方式联系</w:t>
      </w:r>
      <w:bookmarkEnd w:id="1"/>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（一）采购人信息</w:t>
      </w:r>
      <w:r/>
    </w:p>
    <w:p>
      <w:pPr>
        <w:numPr>
          <w:ilvl w:val="0"/>
          <w:numId w:val="4"/>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昆山市中医医院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numPr>
          <w:ilvl w:val="0"/>
          <w:numId w:val="4"/>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rPr>
          <w:rFonts w:hint="eastAsia" w:ascii="宋体" w:hAnsi="宋体" w:eastAsia="宋体" w:cs="宋体"/>
          <w:bCs/>
          <w:color w:val="000000" w:themeColor="text1"/>
          <w:sz w:val="21"/>
          <w:szCs w:val="21"/>
          <w:highlight w:val="none"/>
          <w14:textFill>
            <w14:solidFill>
              <w14:schemeClr w14:val="tx1"/>
            </w14:solidFill>
          </w14:textFill>
        </w:rPr>
        <w:t xml:space="preserve">昆山市</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祖冲之南路</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388号</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numPr>
          <w:ilvl w:val="0"/>
          <w:numId w:val="4"/>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盛怡茗</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numPr>
          <w:ilvl w:val="0"/>
          <w:numId w:val="4"/>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0512-50260205。</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（二）采购代理机构信息</w:t>
      </w:r>
      <w:r/>
    </w:p>
    <w:p>
      <w:pPr>
        <w:numPr>
          <w:ilvl w:val="0"/>
          <w:numId w:val="5"/>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江苏恒泰建设工程咨询有限公司</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numPr>
          <w:ilvl w:val="0"/>
          <w:numId w:val="5"/>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昆山市周市镇白塘商苑3号楼46室</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numPr>
          <w:ilvl w:val="0"/>
          <w:numId w:val="5"/>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明碧珍</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numPr>
          <w:ilvl w:val="0"/>
          <w:numId w:val="5"/>
        </w:numPr>
        <w:ind w:firstLine="454"/>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联系方式：0512-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55128195</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八、投标人中标后注意事项</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请将《成交信息》（word档）与《报价分析表》（word档）务必于一个工作日内</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发至</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274910941@qq.com邮箱，联系电话：0512-55128195</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2.成交公告公示期满7个工作日后，成交供应商可在苏采云系统内完成合同下载和签订，具体操作详见《苏采云系统供应商操作手册》；</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3.采购人与成交供应商应当在成交通知书发出之日起30日内，按照采购文件和响应文件的要求签订合同。</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br w:type="page" w:clear="all"/>
      </w:r>
      <w:r/>
    </w:p>
    <w:p>
      <w:pPr>
        <w:pStyle w:val="758"/>
        <w:ind w:firstLine="562"/>
        <w:jc w:val="center"/>
        <w:keepNext w:val="0"/>
        <w:spacing w:line="360" w:lineRule="auto"/>
        <w:rPr>
          <w:rFonts w:hint="eastAsia" w:ascii="宋体" w:hAnsi="宋体" w:eastAsia="宋体" w:cs="宋体"/>
          <w:b/>
          <w:color w:val="000000" w:themeColor="text1"/>
          <w:highlight w:val="none"/>
          <w14:textFill>
            <w14:solidFill>
              <w14:schemeClr w14:val="tx1"/>
            </w14:solidFill>
          </w14:textFill>
        </w:rPr>
      </w:pPr>
      <w:r/>
      <w:bookmarkStart w:id="2" w:name="_Toc23310"/>
      <w:r/>
      <w:bookmarkStart w:id="3" w:name="_Toc159596555"/>
      <w:r>
        <w:rPr>
          <w:rFonts w:hint="eastAsia" w:ascii="宋体" w:hAnsi="宋体" w:eastAsia="宋体" w:cs="宋体"/>
          <w:b/>
          <w:color w:val="000000" w:themeColor="text1"/>
          <w:highlight w:val="none"/>
          <w14:textFill>
            <w14:solidFill>
              <w14:schemeClr w14:val="tx1"/>
            </w14:solidFill>
          </w14:textFill>
        </w:rPr>
        <w:t xml:space="preserve">第二章、供应商须知</w:t>
      </w:r>
      <w:bookmarkEnd w:id="2"/>
      <w:r/>
      <w:bookmarkEnd w:id="3"/>
      <w:r/>
      <w:r/>
    </w:p>
    <w:p>
      <w:pPr>
        <w:numPr>
          <w:ilvl w:val="0"/>
          <w:numId w:val="6"/>
        </w:numPr>
        <w:ind w:left="850" w:hanging="424"/>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说明和释义</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说明</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本谈判文件仅适用于</w:t>
      </w:r>
      <w:r>
        <w:rPr>
          <w:rFonts w:hint="eastAsia" w:ascii="宋体" w:hAnsi="宋体" w:eastAsia="宋体" w:cs="宋体"/>
          <w:color w:val="000000" w:themeColor="text1"/>
          <w:szCs w:val="21"/>
          <w:highlight w:val="none"/>
          <w:lang w:eastAsia="zh-CN"/>
          <w14:textFill>
            <w14:solidFill>
              <w14:schemeClr w14:val="tx1"/>
            </w14:solidFill>
          </w14:textFill>
        </w:rPr>
        <w:t xml:space="preserve">江苏恒泰建设工程咨询有限公司</w:t>
      </w:r>
      <w:r>
        <w:rPr>
          <w:rFonts w:hint="eastAsia" w:ascii="宋体" w:hAnsi="宋体" w:eastAsia="宋体" w:cs="宋体"/>
          <w:color w:val="000000" w:themeColor="text1"/>
          <w:szCs w:val="21"/>
          <w:highlight w:val="none"/>
          <w14:textFill>
            <w14:solidFill>
              <w14:schemeClr w14:val="tx1"/>
            </w14:solidFill>
          </w14:textFill>
        </w:rPr>
        <w:t xml:space="preserve">组织的谈判活动。</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本次谈判活动及因本次谈判产生的合同受中国法律制约和保护。</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本谈判文件的解释权属于</w:t>
      </w:r>
      <w:r>
        <w:rPr>
          <w:rFonts w:hint="eastAsia" w:ascii="宋体" w:hAnsi="宋体" w:eastAsia="宋体" w:cs="宋体"/>
          <w:color w:val="000000" w:themeColor="text1"/>
          <w:szCs w:val="21"/>
          <w:highlight w:val="none"/>
          <w:lang w:eastAsia="zh-CN"/>
          <w14:textFill>
            <w14:solidFill>
              <w14:schemeClr w14:val="tx1"/>
            </w14:solidFill>
          </w14:textFill>
        </w:rPr>
        <w:t xml:space="preserve">江苏恒泰建设工程咨询有限公司</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词语释义</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供应商：经认定有资格响应的法人或其他组织和自然人。</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响应：供应商根据采购人发布的谈判文件，编制响应文件并按规定投标的行为。</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合同：采供双方根据谈判文件和成交的响应文件及成交通知书规定的内容签署的以书面形式所达成的协议，包括所有的附件、附录和构成协议的所有文件。</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甲方（采购方）：合同中明确规定的实际购买货物和服务的行政机关、事业单位或团体组织。</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乙方（供应商）：合同中规定的向采购方提供货物和服务的法人或其他组织和自然人。</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知识产权：指专利权、商标权、著作权等无形资产专有权的统称。</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天：日历日。</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交货地点：合同中明确约定的乙方提交的货物和服务最终到达地点。</w:t>
      </w:r>
      <w:r/>
    </w:p>
    <w:p>
      <w:pPr>
        <w:numPr>
          <w:ilvl w:val="1"/>
          <w:numId w:val="8"/>
        </w:numPr>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合同价款：根据合同规定，乙方在正确地履行合同义务后甲方应支付给乙方的价款。</w:t>
      </w:r>
      <w:r/>
    </w:p>
    <w:p>
      <w:pPr>
        <w:numPr>
          <w:ilvl w:val="1"/>
          <w:numId w:val="8"/>
        </w:numPr>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产地：货物开采、生长、生产、最终制造、加工或提供服务的来源地。</w:t>
      </w:r>
      <w:r/>
    </w:p>
    <w:p>
      <w:pPr>
        <w:numPr>
          <w:ilvl w:val="1"/>
          <w:numId w:val="8"/>
        </w:numPr>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不可抗力：不能预见、不能避免并且不能克服的客观情况。</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政策功能</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政府采购促进中小企业发展，小微企业（含小型、微型企业）提供的产品和服务在评标时将获得优势，具体详见本采购文件内容。</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★残疾人福利性单位及监狱企业视同小型企业（需提供</w:t>
      </w:r>
      <w:r>
        <w:rPr>
          <w:rFonts w:hint="eastAsia" w:ascii="宋体" w:hAnsi="宋体" w:eastAsia="宋体" w:cs="宋体"/>
          <w:color w:val="000000" w:themeColor="text1"/>
          <w:spacing w:val="6"/>
          <w:szCs w:val="21"/>
          <w:highlight w:val="none"/>
          <w14:textFill>
            <w14:solidFill>
              <w14:schemeClr w14:val="tx1"/>
            </w14:solidFill>
          </w14:textFill>
        </w:rPr>
        <w:t xml:space="preserve">残疾人福利性单位声明函，详见本采购文件</w:t>
      </w:r>
      <w:r>
        <w:rPr>
          <w:rFonts w:hint="eastAsia" w:ascii="宋体" w:hAnsi="宋体" w:eastAsia="宋体" w:cs="宋体"/>
          <w:color w:val="000000" w:themeColor="text1"/>
          <w:szCs w:val="21"/>
          <w:highlight w:val="none"/>
          <w14:textFill>
            <w14:solidFill>
              <w14:schemeClr w14:val="tx1"/>
            </w14:solidFill>
          </w14:textFill>
        </w:rPr>
        <w:t xml:space="preserve">），享受评审中价格扣除等促进中小企业发展的政府采购政策。</w:t>
      </w:r>
      <w:r/>
    </w:p>
    <w:p>
      <w:pPr>
        <w:numPr>
          <w:ilvl w:val="0"/>
          <w:numId w:val="6"/>
        </w:numPr>
        <w:ind w:left="850" w:hanging="424"/>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供应商</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合格供应商的范围</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详见“第一章”中供应商要求。</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投标委托</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如供应商代表不是法定代表人，须持有《法定代表人授权委托书》（格式见附件）。</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投标费用 </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无论投标过程中的做法和结果如何，供应商自行承担所有与参加投标有关的全部费用。</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联合投标</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详见“第一章”中供应商要求。</w:t>
      </w:r>
      <w:r/>
    </w:p>
    <w:p>
      <w:pPr>
        <w:numPr>
          <w:ilvl w:val="0"/>
          <w:numId w:val="6"/>
        </w:numPr>
        <w:ind w:left="850" w:hanging="424"/>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谈判文件的说明</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谈判文件</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谈判文件由谈判文件总目录所列内容组成。供应商应详细阅读谈判文件的全部内容。不按谈判文件的要求提供的响应文件和资料，可能导致投标无效。</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文件的澄清</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供应商在获取谈判文件后，若有疑问，应于答疑问题提交截止时间之前，在苏采云系统上向采购代理人提出，采购代理人将在项目交易系统上予以解答。</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谈判文件的修改</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在网上投标截止时间前，采购代理人有权在出于实际需要或澄清供应商问题的情况下，以补充文件的形式对谈判文件进行修改。</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采购代理人对谈判文件的修改，将以更正公告形式发布于政府采购信息发布媒体上，敬请供应商及时查询。更正内容作为谈判文件的组成部分，对所有供应商具有约束力。</w:t>
      </w:r>
      <w:r/>
    </w:p>
    <w:p>
      <w:pPr>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为保证供应商有足够时间按照谈判文件的修改要求考虑修正响应文件，或出于其他合理原因，采购代理人可酌情推迟投标截止时间和开标时间，并于原网上投标截止时间前将此变更通知在政府采购信息发布媒体上发布变更公告。</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供应商应在投标截止时间前关注原采购信息发布媒体上有关本谈判项目有无变更公告。</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质疑</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未依照采购公告要求实行网上获取采购文件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质疑必须以参加投标供应商法定代表人或授权代表（投标文件中所确定的）原件送达的方式提交，否则，招标代理人有权不予受理。</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上述应知其权益受到损害之日是指：</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对采购文件提出质疑的，为投标文件公告期限届满之日起计算；</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对采购过程提出质疑的，自采购程序环节结束之日起计算；</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对成交结果提出质疑的，自成交结果公告期限届满之日起计算。</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质疑文件应包括以下主要内容，并按照“谁主张、谁举证”的原则，附上相关证明材料。否则，招标代理人或采购人不予受理：</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供应商的姓名或者名称、地址、邮编、联系人及联系电话；</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质疑项目的名称、编号；</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具体、明确的质疑事项和与质疑事项相关的请求；</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事实依据；</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必要的法律依据；</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提出质疑的日期。</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 </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被质疑人在收到供应商的书面质疑后将及时组织调查核实，在七个工作日内作出答复，如对采购文件进行必要的澄清或者修改的，参照本须知“采购文件的修改”条款执行。</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6"/>
        </w:numPr>
        <w:ind w:left="850" w:hanging="424"/>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响应文件说明</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响应文件计量单位和使用文字</w:t>
      </w:r>
      <w:r/>
    </w:p>
    <w:p>
      <w:pPr>
        <w:numPr>
          <w:ilvl w:val="1"/>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响应文件中所使用的计量单位，除谈判文件中有特殊要求外，应采用国家法定计量单位。</w:t>
      </w:r>
      <w:r/>
    </w:p>
    <w:p>
      <w:pPr>
        <w:numPr>
          <w:ilvl w:val="1"/>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电子响应文件的组成</w:t>
      </w:r>
      <w:r/>
    </w:p>
    <w:p>
      <w:pPr>
        <w:numPr>
          <w:ilvl w:val="1"/>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基本目录：</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封面；</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谈判报价表（格式见第三章）；</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分项报价（格式见第三章）；</w:t>
      </w:r>
      <w:r/>
    </w:p>
    <w:p>
      <w:pPr>
        <w:numPr>
          <w:ilvl w:val="1"/>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资格条件：</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满足《中华人民共和国政府采购法》第二十二条规定：</w:t>
      </w:r>
      <w:r/>
    </w:p>
    <w:p>
      <w:pPr>
        <w:ind w:firstLine="42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bookmarkStart w:id="4" w:name="_Hlk166688923"/>
      <w:r>
        <w:rPr>
          <w:rFonts w:hint="eastAsia" w:ascii="宋体" w:hAnsi="宋体" w:eastAsia="宋体" w:cs="宋体"/>
          <w:color w:val="000000" w:themeColor="text1"/>
          <w:szCs w:val="21"/>
          <w:highlight w:val="none"/>
          <w14:textFill>
            <w14:solidFill>
              <w14:schemeClr w14:val="tx1"/>
            </w14:solidFill>
          </w14:textFill>
        </w:rPr>
        <w:t xml:space="preserve">1.1具有独立承担民事责任的能力（提供法人或者其他组织的营业执照等证明文件、自然人的身份证明）；</w:t>
      </w:r>
      <w:r/>
    </w:p>
    <w:p>
      <w:pPr>
        <w:ind w:firstLine="42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1.2具有良好的商业信誉和健全的财务会计制度（提供承诺函或提供相应证明材料）；</w:t>
      </w:r>
      <w:r/>
    </w:p>
    <w:p>
      <w:pPr>
        <w:ind w:firstLine="42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1.3具有履行合同所必需的设备和专业技术能力（提供承诺函或提供相应证明材料）；</w:t>
      </w:r>
      <w:r/>
    </w:p>
    <w:p>
      <w:pPr>
        <w:ind w:firstLine="42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1.4具有依法缴纳税收和社会保障资金的良好记录（提供承诺函或提供相应证明材料）；</w:t>
      </w:r>
      <w:r/>
    </w:p>
    <w:p>
      <w:pPr>
        <w:ind w:firstLine="42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1.5参加政府采购活动前三年内，在经营活动中没有重大违法记录（提供承诺函或提供相应证明材料）</w:t>
      </w:r>
      <w:bookmarkEnd w:id="4"/>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1"/>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符合性条件</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偏离表（商务）（格式见第三章）；</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偏离表（技术）（格式见第三章）；</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投标承诺函</w:t>
      </w:r>
      <w:bookmarkStart w:id="5" w:name="OLE_LINK2"/>
      <w:r>
        <w:rPr>
          <w:rFonts w:hint="eastAsia" w:ascii="宋体" w:hAnsi="宋体" w:eastAsia="宋体" w:cs="宋体"/>
          <w:color w:val="000000" w:themeColor="text1"/>
          <w:szCs w:val="21"/>
          <w:highlight w:val="none"/>
          <w14:textFill>
            <w14:solidFill>
              <w14:schemeClr w14:val="tx1"/>
            </w14:solidFill>
          </w14:textFill>
        </w:rPr>
        <w:t xml:space="preserve">（格式见第三章）</w:t>
      </w:r>
      <w:bookmarkEnd w:id="5"/>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具有类似业绩服务案例（提供项目合同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原件</w:t>
      </w:r>
      <w:r>
        <w:rPr>
          <w:rFonts w:hint="eastAsia" w:ascii="宋体" w:hAnsi="宋体" w:eastAsia="宋体" w:cs="宋体"/>
          <w:color w:val="000000" w:themeColor="text1"/>
          <w:szCs w:val="21"/>
          <w:highlight w:val="none"/>
          <w14:textFill>
            <w14:solidFill>
              <w14:schemeClr w14:val="tx1"/>
            </w14:solidFill>
          </w14:textFill>
        </w:rPr>
        <w:t xml:space="preserve">全部扫描件)；</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其他</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相关资料</w:t>
      </w:r>
      <w:r>
        <w:rPr>
          <w:rFonts w:hint="eastAsia" w:ascii="宋体" w:hAnsi="宋体" w:eastAsia="宋体" w:cs="宋体"/>
          <w:color w:val="000000" w:themeColor="text1"/>
          <w:szCs w:val="21"/>
          <w:highlight w:val="none"/>
          <w14:textFill>
            <w14:solidFill>
              <w14:schemeClr w14:val="tx1"/>
            </w14:solidFill>
          </w14:textFill>
        </w:rPr>
        <w:t xml:space="preserve">（如有）；</w:t>
      </w:r>
      <w:r/>
    </w:p>
    <w:p>
      <w:pPr>
        <w:numPr>
          <w:ilvl w:val="1"/>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价格折扣文件格式：</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提供《中小企业声明函》（如有）（格式见第三章）；</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残疾人福利性单位声明函（如有）（格式见第三章）；</w:t>
      </w:r>
      <w:r/>
    </w:p>
    <w:p>
      <w:pPr>
        <w:numPr>
          <w:ilvl w:val="3"/>
          <w:numId w:val="7"/>
        </w:numPr>
        <w:ind w:left="0"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监狱企业证明文件（如有）。</w:t>
      </w:r>
      <w:r/>
    </w:p>
    <w:p>
      <w:pPr>
        <w:ind w:firstLine="425"/>
        <w:jc w:val="left"/>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以上“13.2-13.3”为资格性、符合性审查须提供的资料，投标人必须提供并加盖电子公章。否则，投标文件将被认定为未实质性响应。</w:t>
      </w:r>
      <w:r>
        <w:rPr>
          <w:rFonts w:hint="eastAsia" w:ascii="宋体" w:hAnsi="宋体" w:eastAsia="宋体" w:cs="宋体"/>
          <w:color w:val="000000" w:themeColor="text1"/>
          <w:szCs w:val="21"/>
          <w:highlight w:val="none"/>
          <w14:textFill>
            <w14:solidFill>
              <w14:schemeClr w14:val="tx1"/>
            </w14:solidFill>
          </w14:textFill>
        </w:rPr>
        <w:t xml:space="preserve">投标人所提交的投标书（技术及相关文件部分）完整与否，将直接影响投标人的评分；</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响应文件编制说明</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电子投标文件按采购文件规定的格式制作，如果未按要求制作上传，可能导致投标无效</w:t>
      </w:r>
      <w:r>
        <w:rPr>
          <w:rFonts w:hint="eastAsia" w:ascii="宋体" w:hAnsi="宋体" w:eastAsia="宋体" w:cs="宋体"/>
          <w:color w:val="000000" w:themeColor="text1"/>
          <w:highlight w:val="none"/>
          <w14:textFill>
            <w14:solidFill>
              <w14:schemeClr w14:val="tx1"/>
            </w14:solidFill>
          </w14:textFill>
        </w:rPr>
        <w:t xml:space="preserve">。</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开标一览表为在开标仪式上网上唱标的内容，要求按格式填写，统一规范，不得自行增减内容（格式见第三章）</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对本次投标的详细说明的编制</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对本次投标的详细说明由供应商视各自的情况自行编制，附于正文之后，与正文页码统一编目。</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投标报价</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应以总价报价。除非合同中另有规定，投标人对《投标报价表》中的整个投标项目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供应商应按《谈判响应报价表》中的谈判项目计算单价和总价。《谈判响应报价表》中的每一单项均应计算并填写单价和总价，并由法定代表人或被授权人签署。</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一项谈判内容只允许一个报价，采购代理人不接受任何有选择性的谈判报价。</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响应文件报价中的单价和总价全部采用人民币表示，除非合同的主要条款另有规定。</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供应商的任何错漏、优惠、竞争性报价不得作为减轻责任、减少服务、增加收费、降低质量的理由。</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响应文件的有效期</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自投标截止之日起90天内</w:t>
      </w:r>
      <w:r>
        <w:rPr>
          <w:rFonts w:hint="eastAsia" w:ascii="宋体" w:hAnsi="宋体" w:eastAsia="宋体" w:cs="宋体"/>
          <w:color w:val="000000" w:themeColor="text1"/>
          <w:szCs w:val="21"/>
          <w:highlight w:val="none"/>
          <w14:textFill>
            <w14:solidFill>
              <w14:schemeClr w14:val="tx1"/>
            </w14:solidFill>
          </w14:textFill>
        </w:rPr>
        <w:t xml:space="preserve">，投标书应保持有效。有效期短于这个规定期限的投标，将被拒绝。</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投标截止时间</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电子响应文件必须按《投标邀请函》规定的网上投标截止时间前提交。</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采购人推迟投标截止时间时，应以网上公布的形式，通知供应商，在这种情况下，采购人和供应商的权利和义务将受到新的截止期的约束。</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响应文件的修改和撤回</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响应文件的修改应在网上投标截止时间前进行。</w:t>
      </w:r>
      <w:r/>
    </w:p>
    <w:p>
      <w:pPr>
        <w:numPr>
          <w:ilvl w:val="0"/>
          <w:numId w:val="6"/>
        </w:numPr>
        <w:ind w:left="850" w:hanging="424"/>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开标和评标</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开标</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采购代理人按《谈判邀请函》规定的时间、地点进行开标。开标仪式根据委托人授权由采购代理人主持。</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参加开标的投标人的法定代表人或被授权人应登录苏采云平台进行远程开标，苏采云平台解密时间以开标时“苏采云”系统为准，解密时间超过10分钟的，视为无效投标。</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出现下列情形之一的，将终止竞争性谈判采购活动</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因情况变化，不再符合规定的竞争性谈判采购方式适用情形的；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出现影响采购公正的违法、违规行为的；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在采购过程中符合竞争要求的供应商或者报价未超过采购预算的供应商不足3家的；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出现影响采购公正的违法、违规行为的；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供应商的报价均超过了采购预算，采购方不能支付的；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因重大变故，采购任务取消的。</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废标后，采购人将把废标的理由通知所有供应商 。</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谈判小组</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谈判小组的评标工作由采购单位负责组织，具体评标事务由谈判小组负责，并独立履行法律、法规规定的职责。</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谈判小组负责具体的评标事务，并独立履行以下职责：</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审查响应文件是否符合谈判文件的要求，并作出评价。</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可以要求供应商对响应文件有关事项作出解释或澄清。</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推荐成交候选供应商名单，或者受采购人委托按照事先确定的办法直接确定可以交单位。</w:t>
      </w:r>
      <w:r/>
    </w:p>
    <w:p>
      <w:pPr>
        <w:numPr>
          <w:ilvl w:val="1"/>
          <w:numId w:val="7"/>
        </w:numPr>
        <w:ind w:left="0" w:firstLine="425"/>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评标内容的保密</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开标后，直到宣布授予成交单位成交为止，凡属于审查、澄清、评价和比较投标的所有资料，有关授予成交的信息都不应向供应商或与评标无关的其他人泄露。</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在响应文件的审查、澄清、评价和比较以及授予成交的过程中，供应商对招标代理人和谈判小组成员施加影响的任何行为，都将取消其投标资格。</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在评标期间，招标代理人将通过指定联络人与供应商进行联系。</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对响应文件的审核</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采购人或者采购代理人资格证明文件要求进行供应商资格审查，如缺少内容，视为无效投标；</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对价格的计算错误按下述原则修正：</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如果单价乘数量不等于总价，应以单价为准修正总价。</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大写金额和小写金额不一致的，以大写金额为准。</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单价金额小数点有明显错位的，应以总价为准，并修改单价。</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如果以文字表示的数据与数字表示的有差别，应以文字为准修正数字。</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对不同文字文本响应文件的解释发生异议的，以中文文本为准。</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供应商不同意以上修正，则其投标为无效投标。</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谈判小组对响应文件的判定，只依据投标内容本身，不依据开标后的任何外来证明。</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下列响应文件为无效投标：</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与谈判文件有重大偏离。</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供应商的报价是选择性的。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供应商的报价只报了部分内容。</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投标报价超过预算的。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未按投标邀函请规定的数额和办法交纳投标保证金的。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不具备谈判文件中规定的资格要求。</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不同供应商的响应文件由同一单位或者个人编制。</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不同供应商委托同一单位或者个人办理投标事宜。</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不同供应商的响应文件载明的项目管理成员为同一人。</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不同供应商的响应文件异常一致。</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不同供应商的响应文件相互混装。</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不同供应商的法定代表人或委托代理人有夫妻、直系血亲关系的。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不同供应商的负责人为同一人或者存在控股、管理关系的。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没有逐一说明投标产品名称、品牌、规格型号和技术参数，而是直接拷贝谈判文件技术要求的；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不同供应商的委托代理人(或法定代表人、项目经理、项目总监、项目负责人等)在谈判文件发布日上月至投标截止日当月在同一单位缴纳社会保险的。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服务承诺和付款条件未响应招标要求的；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不符合法律、法规和谈判文件规定的其他实质性要求的。</w:t>
      </w:r>
      <w:r/>
    </w:p>
    <w:p>
      <w:pPr>
        <w:numPr>
          <w:ilvl w:val="2"/>
          <w:numId w:val="7"/>
        </w:numPr>
        <w:ind w:left="426" w:firstLine="0"/>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谈判小组认定的其它为无效投标的事项。</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响应文件的澄清</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必要时</w:t>
      </w:r>
      <w:r>
        <w:rPr>
          <w:rFonts w:hint="eastAsia" w:ascii="宋体" w:hAnsi="宋体" w:eastAsia="宋体" w:cs="宋体"/>
          <w:color w:val="000000" w:themeColor="text1"/>
          <w:highlight w:val="none"/>
          <w14:textFill>
            <w14:solidFill>
              <w14:schemeClr w14:val="tx1"/>
            </w14:solidFill>
          </w14:textFill>
        </w:rPr>
        <w:t xml:space="preserve">谈判小组可要求供应商澄清、说明或者更正响应文件以书面形式作出，并应当由法定代表人或其授权代表签字或者加盖公章</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响应文件的评价</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谈判小组对响应文件是否实质上响应谈判文件要求的响应文件进行评审。</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评价和比较采用最低评标价法，谈判小组严格按照谈判文件的要求、条件，对供应商所作的实质性响应内容进行评审。</w:t>
      </w:r>
      <w:r/>
    </w:p>
    <w:p>
      <w:pPr>
        <w:numPr>
          <w:ilvl w:val="0"/>
          <w:numId w:val="6"/>
        </w:numPr>
        <w:ind w:left="850" w:hanging="424"/>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授予合同</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成交单位的确认</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69"/>
        <w:jc w:val="both"/>
        <w:keepLines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宋体"/>
          <w:b/>
          <w:color w:val="000000" w:themeColor="text1"/>
          <w:sz w:val="21"/>
          <w:szCs w:val="21"/>
          <w:highlight w:val="none"/>
          <w14:textFill>
            <w14:solidFill>
              <w14:schemeClr w14:val="tx1"/>
            </w14:solidFill>
          </w14:textFill>
        </w:rPr>
        <w:t xml:space="preserve">出质疑或质疑未经投标单位法定代表人或参加投标的授权委</w:t>
      </w:r>
      <w:r>
        <w:rPr>
          <w:rFonts w:hint="eastAsia" w:ascii="宋体" w:hAnsi="宋体" w:eastAsia="宋体" w:cs="宋体"/>
          <w:color w:val="000000" w:themeColor="text1"/>
          <w:sz w:val="21"/>
          <w:szCs w:val="21"/>
          <w:highlight w:val="none"/>
          <w14:textFill>
            <w14:solidFill>
              <w14:schemeClr w14:val="tx1"/>
            </w14:solidFill>
          </w14:textFill>
        </w:rPr>
        <w:t xml:space="preserve">托人签署，采购人有权对该质疑不予答复。</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合同授予标准</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确定为成交的供应商必须具有实施本合同的能力和资源。</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成交通知书</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确定出中标人后，采购代理机构在法定时间内向中标人发出成交通知书。请中标人在中标结果公告届满之日起30日内,使用CA证书登录“苏采云”系统及时下载成交通知书。因系统存储空间有限，自中标结果公告届满之日起30日后，“苏采云”系统不再保证提供下载成交通知书服务,因未及时下载而造成的不利后果由中标人自行承担。</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成交通知书将成为合同的组成部分。。</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合同的签订</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成交单位应按成交通知书中规定的期限，与甲方签订合同。</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签订合同及合同条款应以谈判文件和成交单位的响应文件为依据，所签订的合同不得对谈判文件和成交供应商响应文件作实质性修改。</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采购人不得向成交供应商提出任何不合理的要求作为签订合同的条件，不得与成交供应商私下订立背离合同实质性内容的协议。</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采购合同履行中，采购人需追加与合同标的相同货物的，在不改变合同其他条款的前提下，可以与供应商协商签订补充合同，但所有补充合同的采购</w:t>
      </w:r>
      <w:r>
        <w:rPr>
          <w:rFonts w:hint="eastAsia" w:ascii="宋体" w:hAnsi="宋体" w:eastAsia="宋体" w:cs="宋体"/>
          <w:color w:val="000000" w:themeColor="text1"/>
          <w:szCs w:val="21"/>
          <w:highlight w:val="none"/>
          <w:lang w:val="zh-CN"/>
          <w14:textFill>
            <w14:solidFill>
              <w14:schemeClr w14:val="tx1"/>
            </w14:solidFill>
          </w14:textFill>
        </w:rPr>
        <w:t xml:space="preserve">金额不得超过原合同采购金额的百分之十。</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履约保证金（如有）</w:t>
      </w:r>
      <w:r/>
    </w:p>
    <w:p>
      <w:pPr>
        <w:numPr>
          <w:ilvl w:val="1"/>
          <w:numId w:val="7"/>
        </w:numPr>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成交的供应商应按采购文件中的规定提交履约保证金。</w:t>
      </w:r>
      <w:r/>
    </w:p>
    <w:p>
      <w:pPr>
        <w:numPr>
          <w:ilvl w:val="1"/>
          <w:numId w:val="7"/>
        </w:numPr>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成交的供应商必须在合同备案前将履约保证金交至指定帐户，未缴纳履约保证金不得备案。</w:t>
      </w:r>
      <w:r/>
    </w:p>
    <w:p>
      <w:pPr>
        <w:numPr>
          <w:ilvl w:val="1"/>
          <w:numId w:val="7"/>
        </w:numPr>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履约保证金（无息）将在乙方履行完合同并经验收合格后，凭乙方的收款收据在五个工作日内退返乙方。</w:t>
      </w:r>
      <w:r/>
    </w:p>
    <w:p>
      <w:pPr>
        <w:numPr>
          <w:ilvl w:val="0"/>
          <w:numId w:val="6"/>
        </w:numPr>
        <w:ind w:left="850" w:hanging="424"/>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诚实信用</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诚实信用</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供应商之间不得相互串通投标报价，不得妨碍其他供应商的公平竞争，不得损害采购人和其他供应商的合法权益。</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供应商不得虚假承诺，否则，按照提供虚假材料谋取中标处理。</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6"/>
        </w:numPr>
        <w:ind w:left="850" w:hanging="424"/>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其他事项</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成交服务费</w:t>
      </w:r>
      <w:r/>
    </w:p>
    <w:p>
      <w:pPr>
        <w:numPr>
          <w:ilvl w:val="1"/>
          <w:numId w:val="7"/>
        </w:numPr>
        <w:ind w:left="0" w:firstLine="425"/>
        <w:keepLines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成交单位须按规定支付成交服务费，该费用应在合同签订后三天内付清。</w:t>
      </w:r>
      <w:r/>
    </w:p>
    <w:p>
      <w:pPr>
        <w:numPr>
          <w:ilvl w:val="1"/>
          <w:numId w:val="7"/>
        </w:numPr>
        <w:ind w:left="0" w:firstLine="425"/>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按差额定率累进法计算收费: 按预算金额100万元以下，收取1.5%；100-500万元，收取1.1%；500-1000万元，收取0.8%；1000-5000万元，收取0.5%；5000-10000万元，收取0.25%；10000-100000万元，收取0.05%，最低不少于3000元；该费用由成交单位另行支付至我司成交服务费专用</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账</w:t>
      </w:r>
      <w:r>
        <w:rPr>
          <w:rFonts w:hint="eastAsia" w:ascii="宋体" w:hAnsi="宋体" w:eastAsia="宋体" w:cs="宋体"/>
          <w:b/>
          <w:color w:val="000000" w:themeColor="text1"/>
          <w:szCs w:val="21"/>
          <w:highlight w:val="none"/>
          <w14:textFill>
            <w14:solidFill>
              <w14:schemeClr w14:val="tx1"/>
            </w14:solidFill>
          </w14:textFill>
        </w:rPr>
        <w:t xml:space="preserve">户（</w:t>
      </w:r>
      <w:r>
        <w:rPr>
          <w:rFonts w:hint="eastAsia" w:ascii="宋体" w:hAnsi="宋体" w:eastAsia="宋体" w:cs="宋体"/>
          <w:b/>
          <w:color w:val="000000" w:themeColor="text1"/>
          <w:szCs w:val="21"/>
          <w:highlight w:val="none"/>
          <w:lang w:eastAsia="zh-CN"/>
          <w14:textFill>
            <w14:solidFill>
              <w14:schemeClr w14:val="tx1"/>
            </w14:solidFill>
          </w14:textFill>
        </w:rPr>
        <w:t xml:space="preserve">账户名称：江苏恒泰建设工程咨询有限公司昆山分公司 账号：493675524383 </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Cs w:val="21"/>
          <w:highlight w:val="none"/>
          <w:lang w:eastAsia="zh-CN"/>
          <w14:textFill>
            <w14:solidFill>
              <w14:schemeClr w14:val="tx1"/>
            </w14:solidFill>
          </w14:textFill>
        </w:rPr>
        <w:t xml:space="preserve">开户行：中国银行昆山周市支行</w:t>
      </w:r>
      <w:r>
        <w:rPr>
          <w:rFonts w:hint="eastAsia" w:ascii="宋体" w:hAnsi="宋体" w:eastAsia="宋体" w:cs="宋体"/>
          <w:b/>
          <w:color w:val="000000" w:themeColor="text1"/>
          <w:szCs w:val="21"/>
          <w:highlight w:val="none"/>
          <w14:textFill>
            <w14:solidFill>
              <w14:schemeClr w14:val="tx1"/>
            </w14:solidFill>
          </w14:textFill>
        </w:rPr>
        <w:t xml:space="preserve">）</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监督</w:t>
      </w:r>
      <w:r/>
    </w:p>
    <w:p>
      <w:pPr>
        <w:numPr>
          <w:ilvl w:val="1"/>
          <w:numId w:val="7"/>
        </w:numPr>
        <w:ind w:left="0" w:firstLine="425"/>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政府有关监督部门将对招投标全过程进行监督。</w:t>
      </w:r>
      <w:r/>
    </w:p>
    <w:p>
      <w:pPr>
        <w:numPr>
          <w:ilvl w:val="0"/>
          <w:numId w:val="7"/>
        </w:numPr>
        <w:ind w:left="849" w:hanging="423"/>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未尽事宜</w:t>
      </w:r>
      <w:r/>
    </w:p>
    <w:p>
      <w:pPr>
        <w:numPr>
          <w:ilvl w:val="1"/>
          <w:numId w:val="7"/>
        </w:numPr>
        <w:ind w:left="0" w:firstLine="425"/>
        <w:keepLines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按《中华人民共和国政府采购法》及其他有关政府采购的法律法规的的规定执行。</w:t>
      </w:r>
      <w:r/>
    </w:p>
    <w:p>
      <w:pPr>
        <w:pStyle w:val="758"/>
        <w:jc w:val="center"/>
        <w:keepLines w:val="0"/>
        <w:pageBreakBefore w:val="0"/>
        <w:spacing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bookmarkStart w:id="6" w:name="_Toc29530"/>
      <w:r>
        <w:rPr>
          <w:rFonts w:hint="eastAsia" w:ascii="宋体" w:hAnsi="宋体" w:eastAsia="宋体" w:cs="宋体"/>
          <w:color w:val="000000" w:themeColor="text1"/>
          <w:highlight w:val="none"/>
          <w14:textFill>
            <w14:solidFill>
              <w14:schemeClr w14:val="tx1"/>
            </w14:solidFill>
          </w14:textFill>
        </w:rPr>
        <w:t xml:space="preserve">第三章、谈判响应文件格式</w:t>
      </w:r>
      <w:bookmarkEnd w:id="6"/>
      <w:r/>
      <w:bookmarkStart w:id="7" w:name="gpcItem_SubmitDocStruct"/>
      <w:r/>
      <w:bookmarkEnd w:id="7"/>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Style w:val="769"/>
        <w:ind w:firstLine="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说明：</w:t>
      </w:r>
      <w:r/>
    </w:p>
    <w:p>
      <w:pPr>
        <w:pStyle w:val="769"/>
        <w:ind w:firstLine="48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对本章所有的格式 ，谈判供应商可根据自身情况进行补充和修改，但补充和修改不得造成与本格式内容有实质性的违背。</w:t>
      </w:r>
      <w:r/>
    </w:p>
    <w:p>
      <w:pPr>
        <w:pStyle w:val="769"/>
        <w:ind w:firstLine="0"/>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p>
    <w:p>
      <w:pPr>
        <w:pStyle w:val="759"/>
        <w:rPr>
          <w:rFonts w:hint="eastAsia" w:ascii="宋体" w:hAnsi="宋体" w:eastAsia="宋体" w:cs="宋体"/>
          <w:color w:val="000000" w:themeColor="text1"/>
          <w:szCs w:val="21"/>
          <w:highlight w:val="none"/>
          <w:lang w:eastAsia="zh-CN"/>
          <w14:textFill>
            <w14:solidFill>
              <w14:schemeClr w14:val="tx1"/>
            </w14:solidFill>
          </w14:textFill>
        </w:rPr>
      </w:pPr>
      <w:r/>
      <w:bookmarkStart w:id="8" w:name="_Toc12845"/>
      <w:r/>
      <w:bookmarkStart w:id="9" w:name="_Toc511862077"/>
      <w:r/>
      <w:bookmarkStart w:id="10" w:name="_Ref372102909"/>
      <w:r>
        <w:rPr>
          <w:rFonts w:hint="eastAsia" w:ascii="宋体" w:hAnsi="宋体" w:eastAsia="宋体" w:cs="宋体"/>
          <w:color w:val="000000" w:themeColor="text1"/>
          <w:szCs w:val="21"/>
          <w:highlight w:val="none"/>
          <w:lang w:eastAsia="zh-CN"/>
          <w14:textFill>
            <w14:solidFill>
              <w14:schemeClr w14:val="tx1"/>
            </w14:solidFill>
          </w14:textFill>
        </w:rPr>
        <w:t xml:space="preserve">1、（供应方）法定代表人授权委托书</w:t>
      </w:r>
      <w:bookmarkEnd w:id="8"/>
      <w:r/>
      <w:bookmarkEnd w:id="9"/>
      <w:r/>
      <w:bookmarkEnd w:id="10"/>
      <w:r/>
      <w:r/>
    </w:p>
    <w:p>
      <w:pPr>
        <w:pStyle w:val="769"/>
        <w:ind w:firstLine="0"/>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69"/>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69"/>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授权委托书</w:t>
      </w:r>
      <w:r/>
    </w:p>
    <w:p>
      <w:pPr>
        <w:pStyle w:val="769"/>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69"/>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本授权委托书声明：  我</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（姓名）系</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（供应单位名称）的法定代表人，现授权委托</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（单位名称）的</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（姓名</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+身份证号码</w:t>
      </w:r>
      <w:r>
        <w:rPr>
          <w:rFonts w:hint="eastAsia" w:ascii="宋体" w:hAnsi="宋体" w:eastAsia="宋体" w:cs="宋体"/>
          <w:color w:val="000000" w:themeColor="text1"/>
          <w:szCs w:val="21"/>
          <w:highlight w:val="none"/>
          <w14:textFill>
            <w14:solidFill>
              <w14:schemeClr w14:val="tx1"/>
            </w14:solidFill>
          </w14:textFill>
        </w:rPr>
        <w:t xml:space="preserve">）为我公司代理人，以本公司的名义参加</w:t>
      </w:r>
      <w:r>
        <w:rPr>
          <w:rFonts w:hint="eastAsia" w:ascii="宋体" w:hAnsi="宋体" w:eastAsia="宋体" w:cs="宋体"/>
          <w:color w:val="000000" w:themeColor="text1"/>
          <w:szCs w:val="21"/>
          <w:highlight w:val="none"/>
          <w:lang w:eastAsia="zh-CN"/>
          <w14:textFill>
            <w14:solidFill>
              <w14:schemeClr w14:val="tx1"/>
            </w14:solidFill>
          </w14:textFill>
        </w:rPr>
        <w:t xml:space="preserve">江苏恒泰建设工程咨询有限公司</w:t>
      </w:r>
      <w:r>
        <w:rPr>
          <w:rFonts w:hint="eastAsia" w:ascii="宋体" w:hAnsi="宋体" w:eastAsia="宋体" w:cs="宋体"/>
          <w:color w:val="000000" w:themeColor="text1"/>
          <w:szCs w:val="21"/>
          <w:highlight w:val="none"/>
          <w14:textFill>
            <w14:solidFill>
              <w14:schemeClr w14:val="tx1"/>
            </w14:solidFill>
          </w14:textFill>
        </w:rPr>
        <w:t xml:space="preserve">组织实施的编号为</w:t>
      </w:r>
      <w:r>
        <w:rPr>
          <w:rFonts w:hint="eastAsia" w:ascii="宋体" w:hAnsi="宋体" w:cs="宋体"/>
          <w:color w:val="000000" w:themeColor="text1"/>
          <w:szCs w:val="21"/>
          <w:highlight w:val="none"/>
          <w:u w:val="single"/>
          <w:lang w:eastAsia="zh-CN"/>
          <w14:textFill>
            <w14:solidFill>
              <w14:schemeClr w14:val="tx1"/>
            </w14:solidFill>
          </w14:textFill>
        </w:rPr>
        <w:t xml:space="preserve">JSZC-320583-HTJS-T2026-0002</w:t>
      </w:r>
      <w:r>
        <w:rPr>
          <w:rFonts w:hint="eastAsia" w:ascii="宋体" w:hAnsi="宋体" w:eastAsia="宋体" w:cs="宋体"/>
          <w:color w:val="000000" w:themeColor="text1"/>
          <w:szCs w:val="21"/>
          <w:highlight w:val="none"/>
          <w14:textFill>
            <w14:solidFill>
              <w14:schemeClr w14:val="tx1"/>
            </w14:solidFill>
          </w14:textFill>
        </w:rPr>
        <w:t xml:space="preserve">号的谈判邀请活动。代理人在谈判活动过程中所签署的一切文件和处理与这有关的一切事务，我均予以承认。</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代理人无转委托权。特此委托。</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供应商：（盖章）</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法定代表人：（签字或盖章）</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代理人：（签字或盖章）</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日期：    年   月   日</w:t>
      </w:r>
      <w:r/>
    </w:p>
    <w:p>
      <w:pPr>
        <w:pStyle w:val="759"/>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bookmarkStart w:id="11" w:name="_Toc511862078"/>
      <w:r/>
      <w:bookmarkStart w:id="12" w:name="_Ref372102910"/>
      <w:r>
        <w:rPr>
          <w:rFonts w:hint="eastAsia" w:ascii="宋体" w:hAnsi="宋体" w:eastAsia="宋体" w:cs="宋体"/>
          <w:color w:val="000000" w:themeColor="text1"/>
          <w:szCs w:val="21"/>
          <w:highlight w:val="none"/>
          <w:lang w:eastAsia="zh-CN"/>
          <w14:textFill>
            <w14:solidFill>
              <w14:schemeClr w14:val="tx1"/>
            </w14:solidFill>
          </w14:textFill>
        </w:rPr>
        <w:br w:type="page" w:clear="all"/>
      </w:r>
      <w:bookmarkStart w:id="13" w:name="_Toc24000"/>
      <w:r>
        <w:rPr>
          <w:rFonts w:hint="eastAsia" w:ascii="宋体" w:hAnsi="宋体" w:eastAsia="宋体" w:cs="宋体"/>
          <w:bCs/>
          <w:color w:val="000000" w:themeColor="text1"/>
          <w:szCs w:val="21"/>
          <w:highlight w:val="none"/>
          <w:lang w:eastAsia="zh-CN"/>
          <w14:textFill>
            <w14:solidFill>
              <w14:schemeClr w14:val="tx1"/>
            </w14:solidFill>
          </w14:textFill>
        </w:rPr>
        <w:t xml:space="preserve">2、谈判响应函</w:t>
      </w:r>
      <w:bookmarkEnd w:id="11"/>
      <w:r/>
      <w:bookmarkEnd w:id="12"/>
      <w:r/>
      <w:bookmarkEnd w:id="13"/>
      <w:r/>
      <w:r/>
    </w:p>
    <w:p>
      <w:pPr>
        <w:pStyle w:val="785"/>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谈判响应函</w:t>
      </w:r>
      <w:r/>
    </w:p>
    <w:p>
      <w:pPr>
        <w:pStyle w:val="78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78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我们收到贵公司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号采购文件，经仔细阅读和研究，我们决定参加谈判活动。</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2、如果我们的谈判响应文件被接受，我们将严格履行采购文件中规定的每一项要求，按期、按质、按量履行合同的义务。</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3、我们已详细审查全部采购文件，包括补充文件(如果有的话)。我们完全理解并同意放弃对这方面有不明及误解的权力。</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4、我们响应采购文件中要求的投标有效期.</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5、我们愿意提供谈判采购单位在采购文件中要求的所有资料。</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6、我们认为你们有权决定成交单位，还认为你们有权接受或拒绝所有的谈判供应商。</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7、我们愿意遵守采购文件中所列的收费标准。</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8、我们承诺该谈判响应文件在谈判开始后的全过程中保持有效，不作任何更改和变动。</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9、我们愿意按采购文件的规定交纳谈判保证金，并同意谈判供应商须知中关于没收谈判保证金的规定。</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10、如果我们成交，我们愿意按采购文件的规定支付成交服务费。</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11、综合说明：</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（1）伴随服务及配合措施；</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（2）要求甲方提供的配合；</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（3）对采购文件有不同意见的偏离说明；</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（4）其它说明。</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所有有关谈判文件的函电，请按下列地址联系：</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              联系电话：           </w:t>
      </w:r>
      <w:r/>
    </w:p>
    <w:p>
      <w:pPr>
        <w:pStyle w:val="785"/>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pStyle w:val="759"/>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bookmarkStart w:id="14" w:name="_Ref372102911"/>
      <w:r/>
      <w:bookmarkStart w:id="15" w:name="_Toc511862079"/>
      <w:r>
        <w:rPr>
          <w:rFonts w:hint="eastAsia" w:ascii="宋体" w:hAnsi="宋体" w:eastAsia="宋体" w:cs="宋体"/>
          <w:color w:val="000000" w:themeColor="text1"/>
          <w:szCs w:val="21"/>
          <w:highlight w:val="none"/>
          <w:lang w:eastAsia="zh-CN"/>
          <w14:textFill>
            <w14:solidFill>
              <w14:schemeClr w14:val="tx1"/>
            </w14:solidFill>
          </w14:textFill>
        </w:rPr>
        <w:br w:type="page" w:clear="all"/>
      </w:r>
      <w:bookmarkStart w:id="16" w:name="_Ref36468910"/>
      <w:r/>
      <w:bookmarkStart w:id="17" w:name="_Toc25933"/>
      <w:r>
        <w:rPr>
          <w:rFonts w:hint="eastAsia" w:ascii="宋体" w:hAnsi="宋体" w:eastAsia="宋体" w:cs="宋体"/>
          <w:bCs/>
          <w:color w:val="000000" w:themeColor="text1"/>
          <w:szCs w:val="21"/>
          <w:highlight w:val="none"/>
          <w:lang w:eastAsia="zh-CN"/>
          <w14:textFill>
            <w14:solidFill>
              <w14:schemeClr w14:val="tx1"/>
            </w14:solidFill>
          </w14:textFill>
        </w:rPr>
        <w:t xml:space="preserve">3、投标承诺函</w:t>
      </w:r>
      <w:bookmarkEnd w:id="16"/>
      <w:r/>
      <w:bookmarkEnd w:id="17"/>
      <w:r/>
      <w:r/>
    </w:p>
    <w:p>
      <w:pPr>
        <w:ind w:firstLine="420"/>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投标承诺函</w:t>
      </w:r>
      <w:r/>
    </w:p>
    <w:p>
      <w:pPr>
        <w:ind w:firstLine="420"/>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致：___________________________(采购人名称）</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我单位自愿参加___________________（项目名称）的投标，并做出如下承诺：</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1、在采购文件规定的投标(响应)有效期内实质上修改或撤回投标；</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2、中标(成交)后不依法与采购人签订合同；</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3、在投标（响应）文件中提供虚假材料；</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4、恶意串通；</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5、其他违法违规情形。</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二、我单位知晓上述行为的法律后果，承认本承诺书作为贵方要求我单位履行违约赔偿义务的依据作用。</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投标人（公章）：</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法定代表人（法人章或签字）：</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日期：      年     月     日</w:t>
      </w:r>
      <w:r/>
    </w:p>
    <w:p>
      <w:pPr>
        <w:pStyle w:val="759"/>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br w:type="page" w:clear="all"/>
      </w:r>
      <w:bookmarkStart w:id="18" w:name="_Ref36468927"/>
      <w:r/>
      <w:bookmarkStart w:id="19" w:name="_Toc10371"/>
      <w:r>
        <w:rPr>
          <w:rFonts w:hint="eastAsia" w:ascii="宋体" w:hAnsi="宋体" w:eastAsia="宋体" w:cs="宋体"/>
          <w:color w:val="000000" w:themeColor="text1"/>
          <w:szCs w:val="21"/>
          <w:highlight w:val="none"/>
          <w:lang w:eastAsia="zh-CN"/>
          <w14:textFill>
            <w14:solidFill>
              <w14:schemeClr w14:val="tx1"/>
            </w14:solidFill>
          </w14:textFill>
        </w:rPr>
        <w:t xml:space="preserve">4、谈判报价表</w:t>
      </w:r>
      <w:bookmarkEnd w:id="14"/>
      <w:r/>
      <w:bookmarkEnd w:id="15"/>
      <w:r/>
      <w:bookmarkEnd w:id="18"/>
      <w:r/>
      <w:bookmarkEnd w:id="19"/>
      <w:r/>
      <w:r/>
    </w:p>
    <w:p>
      <w:pPr>
        <w:pStyle w:val="1173"/>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1173"/>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谈判报价表</w:t>
      </w:r>
      <w:r/>
    </w:p>
    <w:p>
      <w:pPr>
        <w:jc w:val="center"/>
        <w:spacing w:before="100" w:beforeAutospacing="1" w:after="100" w:afterAutospacing="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开标一览表</w:t>
      </w:r>
      <w:r/>
    </w:p>
    <w:p>
      <w:pPr>
        <w:jc w:val="left"/>
        <w:spacing w:before="100" w:beforeAutospacing="1" w:after="100" w:afterAutospacing="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投标人全称（加盖公章）：供应商名称 </w:t>
      </w:r>
      <w:r/>
    </w:p>
    <w:p>
      <w:pPr>
        <w:jc w:val="left"/>
        <w:spacing w:before="100" w:beforeAutospacing="1" w:after="100" w:afterAutospacing="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项目编号：项目编号 </w:t>
      </w:r>
      <w:r/>
    </w:p>
    <w:p>
      <w:pPr>
        <w:jc w:val="left"/>
        <w:spacing w:before="100" w:beforeAutospacing="1" w:after="100" w:afterAutospacing="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分包号：分包号 </w:t>
      </w:r>
      <w:r/>
    </w:p>
    <w:tbl>
      <w:tblPr>
        <w:tblStyle w:val="768"/>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992"/>
        <w:gridCol w:w="4875"/>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   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金额大写 </w:t>
            </w:r>
            <w:r/>
          </w:p>
        </w:tc>
      </w:tr>
    </w:tbl>
    <w:p>
      <w:pPr>
        <w:jc w:val="right"/>
        <w:spacing w:before="100" w:beforeAutospacing="1" w:after="100" w:afterAutospacing="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  年 </w: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  月 </w: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  日</w:t>
      </w:r>
      <w:r/>
    </w:p>
    <w:p>
      <w:pPr>
        <w:jc w:val="left"/>
        <w:spacing w:before="100" w:beforeAutospacing="1" w:after="100" w:afterAutospacing="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填写说明：</w:t>
      </w:r>
      <w:r/>
    </w:p>
    <w:p>
      <w:pPr>
        <w:jc w:val="left"/>
        <w:spacing w:before="100" w:beforeAutospacing="1" w:after="100" w:afterAutospacing="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1、开标一览表必须加盖投标人公章（复印件无效）。</w:t>
      </w:r>
      <w:r/>
    </w:p>
    <w:p>
      <w:pPr>
        <w:jc w:val="left"/>
        <w:spacing w:before="100" w:beforeAutospacing="1" w:after="100" w:afterAutospacing="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2、如有分包，投标人投任何一个包的标的，都需单独填写开标一览表。</w:t>
      </w:r>
      <w:r/>
    </w:p>
    <w:p>
      <w:pPr>
        <w:jc w:val="left"/>
        <w:spacing w:before="100" w:beforeAutospacing="1" w:after="100" w:afterAutospacing="1"/>
        <w:widowControl/>
        <w:rPr>
          <w:rFonts w:hint="eastAsia" w:ascii="宋体" w:hAnsi="宋体" w:eastAsia="宋体" w:cs="宋体"/>
          <w:iCs/>
          <w:color w:val="000000" w:themeColor="text1"/>
          <w:sz w:val="24"/>
          <w:highlight w:val="none"/>
          <w:u w:val="single"/>
          <w14:textFill>
            <w14:solidFill>
              <w14:schemeClr w14:val="tx1"/>
            </w14:solidFill>
          </w14:textFill>
        </w:rPr>
      </w:pPr>
      <w:r>
        <w:rPr>
          <w:rFonts w:hint="eastAsia" w:ascii="宋体" w:hAnsi="宋体" w:eastAsia="宋体" w:cs="宋体"/>
          <w:iCs/>
          <w:color w:val="000000" w:themeColor="text1"/>
          <w:sz w:val="24"/>
          <w:highlight w:val="none"/>
          <w:u w:val="single"/>
          <w14:textFill>
            <w14:solidFill>
              <w14:schemeClr w14:val="tx1"/>
            </w14:solidFill>
          </w14:textFill>
        </w:rPr>
        <w:t xml:space="preserve">3、总价包括完成该项目服务工作所需的全部服务，人员工资、福利、保险、劳保、高温补贴、差旅、办公设施设备、材料、思路研究及纲要编制中所需的各种相关费用、税金、利润、政策性文件规定及合同包含的所有风险、责任等完成本项目的各项应有费用。</w:t>
      </w:r>
      <w:r/>
    </w:p>
    <w:p>
      <w:pPr>
        <w:pStyle w:val="117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1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p>
    <w:p>
      <w:pPr>
        <w:jc w:val="center"/>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（项目名称）  报价分析表</w:t>
      </w:r>
      <w:r/>
    </w:p>
    <w:tbl>
      <w:tblPr>
        <w:tblStyle w:val="768"/>
        <w:tblW w:w="0" w:type="auto"/>
        <w:tblInd w:w="4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544"/>
        <w:gridCol w:w="1134"/>
        <w:gridCol w:w="2126"/>
        <w:gridCol w:w="1363"/>
      </w:tblGrid>
      <w:tr>
        <w:trPr>
          <w:cantSplit/>
          <w:trHeight w:val="423"/>
        </w:trPr>
        <w:tc>
          <w:tcPr>
            <w:tcW w:w="814"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t xml:space="preserve">序号</w:t>
            </w:r>
            <w:r/>
          </w:p>
        </w:tc>
        <w:tc>
          <w:tcPr>
            <w:tcW w:w="3544"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t xml:space="preserve">投入项目及费用名称</w:t>
            </w:r>
            <w:r/>
          </w:p>
        </w:tc>
        <w:tc>
          <w:tcPr>
            <w:tcW w:w="1134" w:type="dxa"/>
            <w:vAlign w:val="center"/>
            <w:textDirection w:val="lrTb"/>
            <w:noWrap w:val="false"/>
          </w:tcPr>
          <w:p>
            <w:pPr>
              <w:ind w:firstLine="250"/>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t xml:space="preserve">数量</w:t>
            </w:r>
            <w:r/>
          </w:p>
        </w:tc>
        <w:tc>
          <w:tcPr>
            <w:tcW w:w="2126" w:type="dxa"/>
            <w:vAlign w:val="center"/>
            <w:textDirection w:val="lrTb"/>
            <w:noWrap w:val="false"/>
          </w:tcPr>
          <w:p>
            <w:pPr>
              <w:jc w:val="cente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t xml:space="preserve">金额（人民币元）</w:t>
            </w:r>
            <w:r/>
          </w:p>
        </w:tc>
        <w:tc>
          <w:tcPr>
            <w:tcW w:w="1363" w:type="dxa"/>
            <w:vAlign w:val="center"/>
            <w:textDirection w:val="lrTb"/>
            <w:noWrap w:val="false"/>
          </w:tcPr>
          <w:p>
            <w:pPr>
              <w:jc w:val="cente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t xml:space="preserve">备注</w:t>
            </w:r>
            <w:r/>
          </w:p>
        </w:tc>
      </w:tr>
      <w:tr>
        <w:trPr>
          <w:cantSplit/>
          <w:trHeight w:val="888"/>
        </w:trPr>
        <w:tc>
          <w:tcPr>
            <w:tcW w:w="814"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t xml:space="preserve">1</w:t>
            </w:r>
            <w:r/>
          </w:p>
        </w:tc>
        <w:tc>
          <w:tcPr>
            <w:tcW w:w="3544" w:type="dxa"/>
            <w:vAlign w:val="center"/>
            <w:textDirection w:val="lrTb"/>
            <w:noWrap w:val="false"/>
          </w:tcPr>
          <w:p>
            <w:pP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t xml:space="preserve"> </w:t>
            </w:r>
            <w:r/>
          </w:p>
        </w:tc>
        <w:tc>
          <w:tcPr>
            <w:tcW w:w="1134"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r>
            <w:r/>
          </w:p>
        </w:tc>
        <w:tc>
          <w:tcPr>
            <w:tcW w:w="2126"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r>
            <w:r/>
          </w:p>
        </w:tc>
        <w:tc>
          <w:tcPr>
            <w:tcW w:w="1363"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r>
            <w:r/>
          </w:p>
        </w:tc>
      </w:tr>
      <w:tr>
        <w:trPr>
          <w:cantSplit/>
          <w:trHeight w:val="888"/>
        </w:trPr>
        <w:tc>
          <w:tcPr>
            <w:tcW w:w="814"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t xml:space="preserve">2</w:t>
            </w:r>
            <w:r/>
          </w:p>
        </w:tc>
        <w:tc>
          <w:tcPr>
            <w:tcW w:w="3544" w:type="dxa"/>
            <w:vAlign w:val="center"/>
            <w:textDirection w:val="lrTb"/>
            <w:noWrap w:val="false"/>
          </w:tcPr>
          <w:p>
            <w:pP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r>
            <w:r/>
          </w:p>
        </w:tc>
        <w:tc>
          <w:tcPr>
            <w:tcW w:w="1134"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r>
            <w:r/>
          </w:p>
        </w:tc>
        <w:tc>
          <w:tcPr>
            <w:tcW w:w="2126"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r>
            <w:r/>
          </w:p>
        </w:tc>
        <w:tc>
          <w:tcPr>
            <w:tcW w:w="1363"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r>
            <w:r/>
          </w:p>
        </w:tc>
      </w:tr>
      <w:tr>
        <w:trPr>
          <w:cantSplit/>
          <w:trHeight w:val="888"/>
        </w:trPr>
        <w:tc>
          <w:tcPr>
            <w:tcW w:w="814"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t xml:space="preserve">...</w:t>
            </w:r>
            <w:r/>
          </w:p>
        </w:tc>
        <w:tc>
          <w:tcPr>
            <w:tcW w:w="3544" w:type="dxa"/>
            <w:vAlign w:val="center"/>
            <w:textDirection w:val="lrTb"/>
            <w:noWrap w:val="false"/>
          </w:tcPr>
          <w:p>
            <w:pP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r>
            <w:r/>
          </w:p>
        </w:tc>
        <w:tc>
          <w:tcPr>
            <w:tcW w:w="1134"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r>
            <w:r/>
          </w:p>
        </w:tc>
        <w:tc>
          <w:tcPr>
            <w:tcW w:w="2126"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r>
            <w:r/>
          </w:p>
        </w:tc>
        <w:tc>
          <w:tcPr>
            <w:tcW w:w="1363" w:type="dxa"/>
            <w:vAlign w:val="center"/>
            <w:textDirection w:val="lrTb"/>
            <w:noWrap w:val="false"/>
          </w:tcPr>
          <w:p>
            <w:pPr>
              <w:jc w:val="center"/>
              <w:spacing w:line="360" w:lineRule="auto"/>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20"/>
                <w:szCs w:val="24"/>
                <w:highlight w:val="none"/>
                <w:lang w:val="en-US" w:eastAsia="zh-CN" w:bidi="ar-SA"/>
                <w14:textFill>
                  <w14:solidFill>
                    <w14:schemeClr w14:val="tx1"/>
                  </w14:solidFill>
                </w14:textFill>
              </w:rPr>
            </w:r>
            <w:r/>
          </w:p>
        </w:tc>
      </w:tr>
    </w:tbl>
    <w:p>
      <w:pPr>
        <w:jc w:val="right"/>
        <w:spacing w:line="360" w:lineRule="auto"/>
        <w:rPr>
          <w:rFonts w:hint="eastAsia" w:ascii="宋体" w:hAnsi="宋体" w:eastAsia="宋体" w:cs="宋体"/>
          <w:color w:val="000000" w:themeColor="text1"/>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供应商：（加盖公章）</w:t>
      </w:r>
      <w:r/>
    </w:p>
    <w:p>
      <w:pPr>
        <w:jc w:val="right"/>
        <w:spacing w:line="360" w:lineRule="auto"/>
        <w:rPr>
          <w:rFonts w:hint="eastAsia" w:ascii="宋体" w:hAnsi="宋体" w:eastAsia="宋体" w:cs="宋体"/>
          <w:color w:val="000000" w:themeColor="text1"/>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日期：    年  月  日</w:t>
      </w:r>
      <w:r/>
    </w:p>
    <w:p>
      <w:pPr>
        <w:spacing w:line="360" w:lineRule="auto"/>
        <w:rPr>
          <w:rFonts w:hint="eastAsia" w:ascii="宋体" w:hAnsi="宋体" w:eastAsia="宋体" w:cs="宋体"/>
          <w:color w:val="000000" w:themeColor="text1"/>
          <w:sz w:val="24"/>
          <w:highlight w:val="none"/>
          <w:lang w:val="zh-CN"/>
          <w14:textFill>
            <w14:solidFill>
              <w14:schemeClr w14:val="tx1"/>
            </w14:solidFill>
          </w14:textFill>
        </w:rPr>
        <w:sectPr>
          <w:footerReference w:type="default" r:id="rId13"/>
          <w:footnotePr/>
          <w:endnotePr/>
          <w:type w:val="nextPage"/>
          <w:pgSz w:w="11906" w:h="16838" w:orient="portrait"/>
          <w:pgMar w:top="1134" w:right="1134" w:bottom="1134" w:left="1134" w:header="851" w:footer="680" w:gutter="0"/>
          <w:pgNumType w:start="1"/>
          <w:cols w:num="1" w:sep="0" w:space="1701" w:equalWidth="1"/>
          <w:docGrid w:linePitch="360"/>
        </w:sectPr>
        <w:outlineLvl w:val="9"/>
      </w:pPr>
      <w:r>
        <w:rPr>
          <w:rFonts w:hint="eastAsia" w:ascii="宋体" w:hAnsi="宋体" w:eastAsia="宋体" w:cs="宋体"/>
          <w:color w:val="000000" w:themeColor="text1"/>
          <w:sz w:val="24"/>
          <w:highlight w:val="none"/>
          <w:lang w:val="zh-CN"/>
          <w14:textFill>
            <w14:solidFill>
              <w14:schemeClr w14:val="tx1"/>
            </w14:solidFill>
          </w14:textFill>
        </w:rPr>
      </w:r>
      <w:r/>
    </w:p>
    <w:p>
      <w:pPr>
        <w:pStyle w:val="11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59"/>
        <w:rPr>
          <w:rFonts w:hint="eastAsia" w:ascii="宋体" w:hAnsi="宋体" w:eastAsia="宋体" w:cs="宋体"/>
          <w:color w:val="000000" w:themeColor="text1"/>
          <w:sz w:val="28"/>
          <w:szCs w:val="28"/>
          <w:highlight w:val="none"/>
          <w:lang w:eastAsia="zh-CN"/>
          <w14:textFill>
            <w14:solidFill>
              <w14:schemeClr w14:val="tx1"/>
            </w14:solidFill>
          </w14:textFill>
        </w:rPr>
      </w:pPr>
      <w:r/>
      <w:bookmarkStart w:id="20" w:name="_Ref501489757"/>
      <w:r/>
      <w:bookmarkStart w:id="21" w:name="_Toc509332886"/>
      <w:r/>
      <w:bookmarkStart w:id="22" w:name="_Ref5311"/>
      <w:r/>
      <w:bookmarkStart w:id="23" w:name="_Toc10044"/>
      <w:r/>
      <w:bookmarkStart w:id="24" w:name="_Ref76718572"/>
      <w:r>
        <w:rPr>
          <w:rFonts w:hint="eastAsia" w:ascii="宋体" w:hAnsi="宋体" w:eastAsia="宋体" w:cs="宋体"/>
          <w:color w:val="000000" w:themeColor="text1"/>
          <w:sz w:val="28"/>
          <w:szCs w:val="28"/>
          <w:highlight w:val="none"/>
          <w:lang w:eastAsia="zh-CN"/>
          <w14:textFill>
            <w14:solidFill>
              <w14:schemeClr w14:val="tx1"/>
            </w14:solidFill>
          </w14:textFill>
        </w:rPr>
        <w:t xml:space="preserve">5、</w:t>
      </w:r>
      <w:bookmarkEnd w:id="20"/>
      <w:r/>
      <w:bookmarkEnd w:id="21"/>
      <w:r/>
      <w:bookmarkStart w:id="25" w:name="_Ref372102914"/>
      <w:r/>
      <w:bookmarkStart w:id="26" w:name="_Toc511862082"/>
      <w:r/>
      <w:bookmarkStart w:id="27" w:name="_Ref36468949"/>
      <w:r>
        <w:rPr>
          <w:rFonts w:hint="eastAsia" w:ascii="宋体" w:hAnsi="宋体" w:eastAsia="宋体" w:cs="宋体"/>
          <w:color w:val="000000" w:themeColor="text1"/>
          <w:sz w:val="28"/>
          <w:szCs w:val="28"/>
          <w:highlight w:val="none"/>
          <w:lang w:eastAsia="zh-CN"/>
          <w14:textFill>
            <w14:solidFill>
              <w14:schemeClr w14:val="tx1"/>
            </w14:solidFill>
          </w14:textFill>
        </w:rPr>
        <w:t xml:space="preserve">中小企业声明函</w:t>
      </w:r>
      <w:bookmarkEnd w:id="22"/>
      <w:r/>
      <w:bookmarkEnd w:id="23"/>
      <w:r/>
      <w:bookmarkEnd w:id="24"/>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中小企业声明函</w:t>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（单位名称）</w:t>
      </w:r>
      <w:r>
        <w:rPr>
          <w:rFonts w:hint="eastAsia" w:ascii="宋体" w:hAnsi="宋体" w:eastAsia="宋体" w:cs="宋体"/>
          <w:color w:val="000000" w:themeColor="text1"/>
          <w:szCs w:val="21"/>
          <w:highlight w:val="none"/>
          <w:lang w:val="zh-CN"/>
          <w14:textFill>
            <w14:solidFill>
              <w14:schemeClr w14:val="tx1"/>
            </w14:solidFill>
          </w14:textFill>
        </w:rPr>
        <w:t xml:space="preserve">的</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Cs w:val="21"/>
          <w:highlight w:val="none"/>
          <w:lang w:val="zh-CN"/>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943"/>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u w:val="single"/>
          <w14:textFill>
            <w14:solidFill>
              <w14:schemeClr w14:val="tx1"/>
            </w14:solidFill>
          </w14:textFill>
        </w:rPr>
        <w:t xml:space="preserve">（标的名称）</w:t>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highlight w:val="none"/>
          <w14:textFill>
            <w14:solidFill>
              <w14:schemeClr w14:val="tx1"/>
            </w14:solidFill>
          </w14:textFill>
        </w:rPr>
        <w:t xml:space="preserve">；承建（承接）企业为</w:t>
      </w:r>
      <w:r>
        <w:rPr>
          <w:rFonts w:hint="eastAsia"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从业人员</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lang w:val="zh-CN"/>
          <w14:textFill>
            <w14:solidFill>
              <w14:schemeClr w14:val="tx1"/>
            </w14:solidFill>
          </w14:textFill>
        </w:rPr>
        <w:t xml:space="preserve">人，营业收入为</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lang w:val="zh-CN"/>
          <w14:textFill>
            <w14:solidFill>
              <w14:schemeClr w14:val="tx1"/>
            </w14:solidFill>
          </w14:textFill>
        </w:rPr>
        <w:t xml:space="preserve">万元，资产总额为</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lang w:val="zh-CN"/>
          <w14:textFill>
            <w14:solidFill>
              <w14:schemeClr w14:val="tx1"/>
            </w14:solidFill>
          </w14:textFill>
        </w:rPr>
        <w:t xml:space="preserve">万元，属于</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（中型企业、小型企业、微型企业）</w:t>
      </w:r>
      <w:r>
        <w:rPr>
          <w:rFonts w:hint="eastAsia" w:ascii="宋体" w:hAnsi="宋体" w:eastAsia="宋体" w:cs="宋体"/>
          <w:color w:val="000000" w:themeColor="text1"/>
          <w:szCs w:val="21"/>
          <w:highlight w:val="none"/>
          <w:lang w:val="zh-CN"/>
          <w14:textFill>
            <w14:solidFill>
              <w14:schemeClr w14:val="tx1"/>
            </w14:solidFill>
          </w14:textFill>
        </w:rPr>
        <w:t xml:space="preserve">；</w:t>
      </w:r>
      <w:r/>
    </w:p>
    <w:p>
      <w:pPr>
        <w:pStyle w:val="943"/>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u w:val="single"/>
          <w14:textFill>
            <w14:solidFill>
              <w14:schemeClr w14:val="tx1"/>
            </w14:solidFill>
          </w14:textFill>
        </w:rPr>
        <w:t xml:space="preserve">（标的名称）</w:t>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highlight w:val="none"/>
          <w14:textFill>
            <w14:solidFill>
              <w14:schemeClr w14:val="tx1"/>
            </w14:solidFill>
          </w14:textFill>
        </w:rPr>
        <w:t xml:space="preserve">；承建（承接）企业为</w:t>
      </w:r>
      <w:r>
        <w:rPr>
          <w:rFonts w:hint="eastAsia"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从业人员</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lang w:val="zh-CN"/>
          <w14:textFill>
            <w14:solidFill>
              <w14:schemeClr w14:val="tx1"/>
            </w14:solidFill>
          </w14:textFill>
        </w:rPr>
        <w:t xml:space="preserve">人，营业收入为</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lang w:val="zh-CN"/>
          <w14:textFill>
            <w14:solidFill>
              <w14:schemeClr w14:val="tx1"/>
            </w14:solidFill>
          </w14:textFill>
        </w:rPr>
        <w:t xml:space="preserve">万元，资产总额为</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lang w:val="zh-CN"/>
          <w14:textFill>
            <w14:solidFill>
              <w14:schemeClr w14:val="tx1"/>
            </w14:solidFill>
          </w14:textFill>
        </w:rPr>
        <w:t xml:space="preserve">万元，属于</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（中型企业、小型企业、微型企业）</w:t>
      </w:r>
      <w:r>
        <w:rPr>
          <w:rFonts w:hint="eastAsia" w:ascii="宋体" w:hAnsi="宋体" w:eastAsia="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本企业对上述声明内容的真实性负责。如有虚假，将依法承担相应责任。</w:t>
      </w:r>
      <w:r/>
    </w:p>
    <w:p>
      <w:pPr>
        <w:pStyle w:val="943"/>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注：1.从业人员、营业收入、资产总额填报上一年度数据，无上一年度数据的新成立企业可不填报。</w:t>
      </w:r>
      <w:r/>
    </w:p>
    <w:p>
      <w:pPr>
        <w:pStyle w:val="943"/>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 本项目服务所属行业为</w:t>
      </w:r>
      <w:r>
        <w:rPr>
          <w:rFonts w:hint="eastAsia" w:ascii="宋体" w:hAnsi="宋体" w:eastAsia="宋体" w:cs="宋体"/>
          <w:b/>
          <w:bCs/>
          <w:color w:val="000000" w:themeColor="text1"/>
          <w:szCs w:val="21"/>
          <w:highlight w:val="none"/>
          <w14:textFill>
            <w14:solidFill>
              <w14:schemeClr w14:val="tx1"/>
            </w14:solidFill>
          </w14:textFill>
        </w:rPr>
        <w:t xml:space="preserve">（十六）其他未列明行业</w:t>
      </w:r>
      <w:r>
        <w:rPr>
          <w:rFonts w:hint="eastAsia" w:ascii="宋体" w:hAnsi="宋体" w:eastAsia="宋体" w:cs="宋体"/>
          <w:color w:val="000000" w:themeColor="text1"/>
          <w:highlight w:val="none"/>
          <w14:textFill>
            <w14:solidFill>
              <w14:schemeClr w14:val="tx1"/>
            </w14:solidFill>
          </w14:textFill>
        </w:rPr>
        <w:t xml:space="preserve">，中小微企业划分标准请根据《中小企业划型标准规定》（工信部联企业﹝2011﹞300号文）。</w:t>
      </w:r>
      <w:r/>
    </w:p>
    <w:p>
      <w:pPr>
        <w:pStyle w:val="1147"/>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420"/>
        <w:jc w:val="righ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投标人：（公章）</w:t>
      </w:r>
      <w:r/>
    </w:p>
    <w:p>
      <w:pPr>
        <w:jc w:val="righ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w:t>
      </w:r>
      <w:r/>
    </w:p>
    <w:p>
      <w:pPr>
        <w:pStyle w:val="1133"/>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1133"/>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ind w:firstLine="482"/>
        <w:spacing w:after="240"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Cs w:val="21"/>
          <w:highlight w:val="none"/>
          <w14:textFill>
            <w14:solidFill>
              <w14:schemeClr w14:val="tx1"/>
            </w14:solidFill>
          </w14:textFill>
        </w:rPr>
        <w:t xml:space="preserve">附件</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关于印发中小企业划型标准规定的通知</w:t>
      </w:r>
      <w:r/>
    </w:p>
    <w:p>
      <w:pPr>
        <w:spacing w:after="240"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工信部联企业〔2011〕300号</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各省、自治区、直辖市人民政府，国务院各部委、各直属机构及有关单位：</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工业和信息化部　国家统计局</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国家发展和改革委员会　财政部</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二○一一年六月十八日</w:t>
      </w:r>
      <w:r/>
    </w:p>
    <w:p>
      <w:pPr>
        <w:spacing w:before="100" w:beforeAutospacing="1" w:after="100" w:afterAutospacing="1"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中小企业划型标准规定</w:t>
      </w:r>
      <w:r/>
    </w:p>
    <w:p>
      <w:pPr>
        <w:ind w:firstLine="420"/>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一、根据《中华人民共和国中小企业促进法》和《国务院关于进一步促进中小企业发展的若干意见》(国发〔2009〕36号)，制定本规定。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二、中小企业划分为中型、小型、微型三种类型，具体标准根据企业从业人员、营业收入、资产总额等指标，结合行业特点制定。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四、各行业划型标准为：</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五、企业类型的划分以统计部门的统计数据为依据。</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八、本规定由工业和信息化部、国家统计局会同有关部门根据《国民经济行业分类》修订情况和企业发展变化情况适时修订。</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九、本规定由工业和信息化部、国家统计局会同有关部门负责解释。</w:t>
      </w:r>
      <w:r/>
    </w:p>
    <w:p>
      <w:pPr>
        <w:ind w:firstLine="420"/>
        <w:spacing w:line="276"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十、本规定自发布之日起执行，原国家经贸委、原国家计委、财政部和国家统计局2003年颁布的《中小企业标准暂行规定》同时废止。</w:t>
      </w:r>
      <w:r>
        <w:rPr>
          <w:rFonts w:hint="eastAsia" w:ascii="宋体" w:hAnsi="宋体" w:eastAsia="宋体" w:cs="宋体"/>
          <w:color w:val="000000" w:themeColor="text1"/>
          <w:szCs w:val="21"/>
          <w:highlight w:val="none"/>
          <w14:textFill>
            <w14:solidFill>
              <w14:schemeClr w14:val="tx1"/>
            </w14:solidFill>
          </w14:textFill>
        </w:rPr>
        <w:br w:type="page" w:clear="all"/>
      </w:r>
      <w:r/>
    </w:p>
    <w:p>
      <w:pPr>
        <w:pStyle w:val="759"/>
        <w:rPr>
          <w:rFonts w:hint="eastAsia" w:ascii="宋体" w:hAnsi="宋体" w:eastAsia="宋体" w:cs="宋体"/>
          <w:color w:val="000000" w:themeColor="text1"/>
          <w:highlight w:val="none"/>
          <w:lang w:eastAsia="zh-CN"/>
          <w14:textFill>
            <w14:solidFill>
              <w14:schemeClr w14:val="tx1"/>
            </w14:solidFill>
          </w14:textFill>
        </w:rPr>
      </w:pPr>
      <w:r/>
      <w:bookmarkStart w:id="28" w:name="_企业从业人员情况表"/>
      <w:r/>
      <w:bookmarkEnd w:id="28"/>
      <w:r/>
      <w:bookmarkStart w:id="29" w:name="_Ref76718583"/>
      <w:r/>
      <w:bookmarkStart w:id="30" w:name="_Toc4149"/>
      <w:r/>
      <w:bookmarkStart w:id="31" w:name="_Toc43122678"/>
      <w:r/>
      <w:bookmarkStart w:id="32" w:name="_Ref76718593"/>
      <w:r>
        <w:rPr>
          <w:rFonts w:hint="eastAsia" w:ascii="宋体" w:hAnsi="宋体" w:eastAsia="宋体" w:cs="宋体"/>
          <w:color w:val="000000" w:themeColor="text1"/>
          <w:highlight w:val="none"/>
          <w:lang w:eastAsia="zh-CN"/>
          <w14:textFill>
            <w14:solidFill>
              <w14:schemeClr w14:val="tx1"/>
            </w14:solidFill>
          </w14:textFill>
        </w:rPr>
        <w:t xml:space="preserve">6、附件残疾人福利性单位声明函</w:t>
      </w:r>
      <w:bookmarkEnd w:id="29"/>
      <w:r/>
      <w:bookmarkEnd w:id="30"/>
      <w:r/>
      <w:bookmarkEnd w:id="31"/>
      <w:r/>
      <w:bookmarkEnd w:id="32"/>
      <w:r/>
      <w:r/>
    </w:p>
    <w:p>
      <w:pPr>
        <w:spacing w:line="580" w:lineRule="exact"/>
        <w:rPr>
          <w:rFonts w:hint="eastAsia" w:ascii="宋体" w:hAnsi="宋体" w:eastAsia="宋体" w:cs="宋体"/>
          <w:color w:val="000000" w:themeColor="text1"/>
          <w:spacing w:val="6"/>
          <w:szCs w:val="32"/>
          <w:highlight w:val="none"/>
          <w14:textFill>
            <w14:solidFill>
              <w14:schemeClr w14:val="tx1"/>
            </w14:solidFill>
          </w14:textFill>
        </w:rPr>
      </w:pPr>
      <w:r>
        <w:rPr>
          <w:rFonts w:hint="eastAsia" w:ascii="宋体" w:hAnsi="宋体" w:eastAsia="宋体" w:cs="宋体"/>
          <w:color w:val="000000" w:themeColor="text1"/>
          <w:spacing w:val="6"/>
          <w:szCs w:val="32"/>
          <w:highlight w:val="none"/>
          <w14:textFill>
            <w14:solidFill>
              <w14:schemeClr w14:val="tx1"/>
            </w14:solidFill>
          </w14:textFill>
        </w:rPr>
      </w:r>
      <w:r/>
    </w:p>
    <w:p>
      <w:pPr>
        <w:jc w:val="center"/>
        <w:spacing w:line="580" w:lineRule="exact"/>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残疾人福利性单位声明函</w:t>
      </w:r>
      <w:r/>
    </w:p>
    <w:p>
      <w:pPr>
        <w:spacing w:line="580" w:lineRule="exact"/>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r>
      <w:r/>
    </w:p>
    <w:p>
      <w:pPr>
        <w:ind w:firstLine="444"/>
        <w:spacing w:line="580" w:lineRule="exact"/>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Cs w:val="21"/>
          <w:highlight w:val="none"/>
          <w14:textFill>
            <w14:solidFill>
              <w14:schemeClr w14:val="tx1"/>
            </w14:solidFill>
          </w14:textFill>
        </w:rPr>
        <w:t xml:space="preserve">〔2017〕141</w:t>
      </w:r>
      <w:r>
        <w:rPr>
          <w:rFonts w:hint="eastAsia" w:ascii="宋体" w:hAnsi="宋体" w:eastAsia="宋体" w:cs="宋体"/>
          <w:color w:val="000000" w:themeColor="text1"/>
          <w:spacing w:val="6"/>
          <w:szCs w:val="21"/>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pacing w:val="6"/>
          <w:szCs w:val="21"/>
          <w:highlight w:val="none"/>
          <w:u w:val="single"/>
          <w14:textFill>
            <w14:solidFill>
              <w14:schemeClr w14:val="tx1"/>
            </w14:solidFill>
          </w14:textFill>
        </w:rPr>
        <w:t xml:space="preserve">______</w:t>
      </w:r>
      <w:r>
        <w:rPr>
          <w:rFonts w:hint="eastAsia" w:ascii="宋体" w:hAnsi="宋体" w:eastAsia="宋体" w:cs="宋体"/>
          <w:color w:val="000000" w:themeColor="text1"/>
          <w:spacing w:val="6"/>
          <w:szCs w:val="21"/>
          <w:highlight w:val="none"/>
          <w14:textFill>
            <w14:solidFill>
              <w14:schemeClr w14:val="tx1"/>
            </w14:solidFill>
          </w14:textFill>
        </w:rPr>
        <w:t xml:space="preserve">单位的</w:t>
      </w:r>
      <w:r>
        <w:rPr>
          <w:rFonts w:hint="eastAsia" w:ascii="宋体" w:hAnsi="宋体" w:eastAsia="宋体" w:cs="宋体"/>
          <w:color w:val="000000" w:themeColor="text1"/>
          <w:spacing w:val="6"/>
          <w:szCs w:val="21"/>
          <w:highlight w:val="none"/>
          <w:u w:val="single"/>
          <w14:textFill>
            <w14:solidFill>
              <w14:schemeClr w14:val="tx1"/>
            </w14:solidFill>
          </w14:textFill>
        </w:rPr>
        <w:t xml:space="preserve">______</w:t>
      </w:r>
      <w:r>
        <w:rPr>
          <w:rFonts w:hint="eastAsia" w:ascii="宋体" w:hAnsi="宋体" w:eastAsia="宋体" w:cs="宋体"/>
          <w:color w:val="000000" w:themeColor="text1"/>
          <w:spacing w:val="6"/>
          <w:szCs w:val="2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本单位对上述声明的真实性负责。如有虚假，将依法承担相应责任。</w:t>
      </w:r>
      <w:r/>
    </w:p>
    <w:p>
      <w:pPr>
        <w:ind w:firstLine="444"/>
        <w:spacing w:line="580" w:lineRule="exact"/>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r>
      <w:r/>
    </w:p>
    <w:p>
      <w:pPr>
        <w:ind w:firstLine="444"/>
        <w:spacing w:line="580" w:lineRule="exact"/>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r>
      <w:r/>
    </w:p>
    <w:p>
      <w:pPr>
        <w:ind w:right="1560" w:firstLine="444"/>
        <w:jc w:val="right"/>
        <w:spacing w:line="580" w:lineRule="exact"/>
        <w:tabs>
          <w:tab w:val="left" w:pos="4860" w:leader="none"/>
        </w:tabs>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                    单位名称（盖章）：</w:t>
      </w:r>
      <w:r/>
    </w:p>
    <w:p>
      <w:pPr>
        <w:ind w:right="1560" w:firstLine="444"/>
        <w:jc w:val="right"/>
        <w:spacing w:line="580" w:lineRule="exact"/>
        <w:tabs>
          <w:tab w:val="left" w:pos="4860" w:leader="none"/>
        </w:tabs>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                 日  期：</w:t>
      </w:r>
      <w:r/>
    </w:p>
    <w:p>
      <w:pPr>
        <w:ind w:right="1560" w:firstLine="444"/>
        <w:jc w:val="right"/>
        <w:spacing w:line="580" w:lineRule="exact"/>
        <w:tabs>
          <w:tab w:val="left" w:pos="4860" w:leader="none"/>
        </w:tabs>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br w:type="page" w:clear="all"/>
      </w:r>
      <w:r/>
    </w:p>
    <w:p>
      <w:pPr>
        <w:ind w:right="-252" w:firstLine="420"/>
        <w:jc w:val="center"/>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关于促进残疾人就业政府采购政策的通知</w:t>
      </w:r>
      <w:r/>
    </w:p>
    <w:p>
      <w:pPr>
        <w:ind w:right="-252" w:firstLine="420"/>
        <w:jc w:val="center"/>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财库〔2017〕141号</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七、本通知自2017年10月1日起执行。</w:t>
      </w:r>
      <w:r/>
    </w:p>
    <w:p>
      <w:pPr>
        <w:ind w:right="-252" w:firstLine="420"/>
        <w:jc w:val="right"/>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财政部 民政部 中国残疾人联合会</w:t>
      </w:r>
      <w:r/>
    </w:p>
    <w:p>
      <w:pPr>
        <w:ind w:right="-252" w:firstLine="420"/>
        <w:jc w:val="right"/>
        <w:spacing w:line="360" w:lineRule="auto"/>
        <w:tabs>
          <w:tab w:val="left" w:pos="3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2017年8月22日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105"/>
        <w:jc w:val="righ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Style w:val="759"/>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br w:type="page" w:clear="all"/>
      </w:r>
      <w:bookmarkStart w:id="33" w:name="_Toc11088"/>
      <w:r>
        <w:rPr>
          <w:rFonts w:hint="eastAsia" w:ascii="宋体" w:hAnsi="宋体" w:eastAsia="宋体" w:cs="宋体"/>
          <w:color w:val="000000" w:themeColor="text1"/>
          <w:highlight w:val="none"/>
          <w:lang w:eastAsia="zh-CN"/>
          <w14:textFill>
            <w14:solidFill>
              <w14:schemeClr w14:val="tx1"/>
            </w14:solidFill>
          </w14:textFill>
        </w:rPr>
        <w:t xml:space="preserve">7、响应服务性能、技术指标说明与描述</w:t>
      </w:r>
      <w:bookmarkEnd w:id="25"/>
      <w:r/>
      <w:bookmarkEnd w:id="26"/>
      <w:r/>
      <w:bookmarkEnd w:id="27"/>
      <w:r/>
      <w:bookmarkEnd w:id="33"/>
      <w:r/>
      <w:r/>
    </w:p>
    <w:p>
      <w:pPr>
        <w:jc w:val="center"/>
        <w:spacing w:line="360" w:lineRule="auto"/>
        <w:tabs>
          <w:tab w:val="left" w:pos="1320" w:leader="none"/>
        </w:tabs>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响应服务性能、技术指标说明与描述</w:t>
      </w:r>
      <w:r/>
    </w:p>
    <w:tbl>
      <w:tblPr>
        <w:tblStyle w:val="7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1676"/>
        </w:trPr>
        <w:tc>
          <w:tcPr>
            <w:tcW w:w="9322" w:type="dxa"/>
            <w:textDirection w:val="lrTb"/>
            <w:noWrap w:val="false"/>
          </w:tcPr>
          <w:p>
            <w:pPr>
              <w:pStyle w:val="769"/>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提示：</w:t>
            </w:r>
            <w:r/>
          </w:p>
          <w:p>
            <w:pPr>
              <w:pStyle w:val="769"/>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69"/>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1、谈判响应供应商应根据本次采购项目要求，对所投服务的性能、技术指标等进行详细的说明与描述。</w:t>
            </w:r>
            <w:r/>
          </w:p>
          <w:p>
            <w:pPr>
              <w:pStyle w:val="769"/>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2、谈判响应供应商可根据自身情况编写，本页不够可另加页附后。</w:t>
            </w:r>
            <w:r/>
          </w:p>
        </w:tc>
      </w:tr>
      <w:tr>
        <w:trPr>
          <w:jc w:val="center"/>
          <w:trHeight w:val="9418"/>
        </w:trPr>
        <w:tc>
          <w:tcPr>
            <w:tcW w:w="9322" w:type="dxa"/>
            <w:vAlign w:val="bottom"/>
            <w:textDirection w:val="lrTb"/>
            <w:noWrap w:val="false"/>
          </w:tcPr>
          <w:p>
            <w:pPr>
              <w:jc w:val="center"/>
              <w:spacing w:line="360" w:lineRule="auto"/>
              <w:tabs>
                <w:tab w:val="left" w:pos="13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210"/>
              <w:jc w:val="center"/>
              <w:spacing w:line="360" w:lineRule="auto"/>
              <w:tabs>
                <w:tab w:val="left" w:pos="1320" w:leader="none"/>
              </w:tabs>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u w:val="single"/>
                <w14:textFill>
                  <w14:solidFill>
                    <w14:schemeClr w14:val="tx1"/>
                  </w14:solidFill>
                </w14:textFill>
              </w:rPr>
              <w:t xml:space="preserve">单位名称（盖章）：                  </w:t>
            </w:r>
            <w:r/>
          </w:p>
        </w:tc>
      </w:tr>
    </w:tbl>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Style w:val="75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clear="all"/>
      </w:r>
      <w:bookmarkStart w:id="34" w:name="_Ref372102915"/>
      <w:r/>
      <w:bookmarkStart w:id="35" w:name="_Toc1942"/>
      <w:r/>
      <w:bookmarkStart w:id="36" w:name="_Toc511862083"/>
      <w:r>
        <w:rPr>
          <w:rFonts w:hint="eastAsia" w:ascii="宋体" w:hAnsi="宋体" w:eastAsia="宋体" w:cs="宋体"/>
          <w:color w:val="000000" w:themeColor="text1"/>
          <w:szCs w:val="21"/>
          <w:highlight w:val="none"/>
          <w:lang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、技术要求偏离表</w:t>
      </w:r>
      <w:bookmarkEnd w:id="34"/>
      <w:r/>
      <w:bookmarkEnd w:id="35"/>
      <w:r/>
      <w:bookmarkEnd w:id="36"/>
      <w:r/>
      <w:r/>
    </w:p>
    <w:p>
      <w:pPr>
        <w:jc w:val="center"/>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技术要求偏离表</w:t>
      </w:r>
      <w:r/>
    </w:p>
    <w:p>
      <w:pP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单位名称（盖章）：</w:t>
      </w:r>
      <w:r/>
    </w:p>
    <w:tbl>
      <w:tblPr>
        <w:tblStyle w:val="7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69"/>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      目</w:t>
            </w:r>
            <w:r/>
          </w:p>
        </w:tc>
        <w:tc>
          <w:tcPr>
            <w:tcW w:w="2130" w:type="dxa"/>
            <w:textDirection w:val="lrTb"/>
            <w:noWrap w:val="false"/>
          </w:tcPr>
          <w:p>
            <w:pPr>
              <w:pStyle w:val="769"/>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采购要求（详见采购文件）</w:t>
            </w:r>
            <w:r/>
          </w:p>
        </w:tc>
        <w:tc>
          <w:tcPr>
            <w:tcW w:w="1944" w:type="dxa"/>
            <w:textDirection w:val="lrTb"/>
            <w:noWrap w:val="false"/>
          </w:tcPr>
          <w:p>
            <w:pPr>
              <w:pStyle w:val="769"/>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投标内容（响应情况）</w:t>
            </w:r>
            <w:r/>
          </w:p>
        </w:tc>
        <w:tc>
          <w:tcPr>
            <w:tcW w:w="2318" w:type="dxa"/>
            <w:textDirection w:val="lrTb"/>
            <w:noWrap w:val="false"/>
          </w:tcPr>
          <w:p>
            <w:pPr>
              <w:pStyle w:val="769"/>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偏离说明（正偏离、无偏离、负偏离）</w:t>
            </w:r>
            <w:r/>
          </w:p>
        </w:tc>
      </w:tr>
      <w:tr>
        <w:trPr/>
        <w:tc>
          <w:tcPr>
            <w:tcW w:w="2130" w:type="dxa"/>
            <w:textDirection w:val="lrTb"/>
            <w:noWrap w:val="false"/>
          </w:tcPr>
          <w:p>
            <w:pPr>
              <w:pStyle w:val="769"/>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标的物</w:t>
            </w:r>
            <w:r/>
          </w:p>
        </w:tc>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44"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18"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44"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18"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44"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18"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44"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18"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…………（根据采购内容自行列明）</w:t>
            </w:r>
            <w:r/>
          </w:p>
        </w:tc>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44"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18"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p>
      <w:pP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供应商：（单位盖章）</w:t>
      </w:r>
      <w:r/>
    </w:p>
    <w:p>
      <w:pP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法定代表人或代理人：（签字或盖章）</w:t>
      </w:r>
      <w:r/>
    </w:p>
    <w:p>
      <w:pP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日期：         年         月       日</w:t>
      </w:r>
      <w:bookmarkStart w:id="37" w:name="_Toc511862084"/>
      <w:r/>
      <w:bookmarkStart w:id="38" w:name="_Ref372102916"/>
      <w:r/>
      <w:r/>
    </w:p>
    <w:p>
      <w:pP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p>
      <w:pP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p>
      <w:pPr>
        <w:pStyle w:val="759"/>
        <w:rPr>
          <w:rFonts w:hint="eastAsia" w:ascii="宋体" w:hAnsi="宋体" w:eastAsia="宋体" w:cs="宋体"/>
          <w:color w:val="000000" w:themeColor="text1"/>
          <w:szCs w:val="21"/>
          <w:highlight w:val="none"/>
          <w:lang w:eastAsia="zh-CN"/>
          <w14:textFill>
            <w14:solidFill>
              <w14:schemeClr w14:val="tx1"/>
            </w14:solidFill>
          </w14:textFill>
        </w:rPr>
      </w:pPr>
      <w:r/>
      <w:bookmarkStart w:id="39" w:name="_Toc6894"/>
      <w:r/>
      <w:bookmarkStart w:id="40" w:name="_Ref76718612"/>
      <w:r>
        <w:rPr>
          <w:rFonts w:hint="eastAsia" w:ascii="宋体" w:hAnsi="宋体" w:eastAsia="宋体" w:cs="宋体"/>
          <w:color w:val="000000" w:themeColor="text1"/>
          <w:szCs w:val="21"/>
          <w:highlight w:val="none"/>
          <w:lang w:eastAsia="zh-CN"/>
          <w14:textFill>
            <w14:solidFill>
              <w14:schemeClr w14:val="tx1"/>
            </w14:solidFill>
          </w14:textFill>
        </w:rPr>
        <w:t xml:space="preserve">9、商务条款偏离表</w:t>
      </w:r>
      <w:bookmarkEnd w:id="37"/>
      <w:r/>
      <w:bookmarkEnd w:id="38"/>
      <w:r/>
      <w:bookmarkEnd w:id="39"/>
      <w:r/>
      <w:bookmarkEnd w:id="40"/>
      <w:r/>
      <w:r/>
    </w:p>
    <w:p>
      <w:pPr>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r>
      <w:r/>
    </w:p>
    <w:p>
      <w:pPr>
        <w:jc w:val="center"/>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商务条款偏离表</w:t>
      </w:r>
      <w:r/>
    </w:p>
    <w:p>
      <w:pPr>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r>
      <w:r/>
    </w:p>
    <w:p>
      <w:pP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单位名称（盖章）：</w:t>
      </w:r>
      <w:r/>
    </w:p>
    <w:tbl>
      <w:tblPr>
        <w:tblStyle w:val="7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69"/>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      目</w:t>
            </w:r>
            <w:r/>
          </w:p>
        </w:tc>
        <w:tc>
          <w:tcPr>
            <w:tcW w:w="2130" w:type="dxa"/>
            <w:textDirection w:val="lrTb"/>
            <w:noWrap w:val="false"/>
          </w:tcPr>
          <w:p>
            <w:pPr>
              <w:pStyle w:val="769"/>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采购要求（详见采购文件）</w:t>
            </w:r>
            <w:r/>
          </w:p>
        </w:tc>
        <w:tc>
          <w:tcPr>
            <w:tcW w:w="1944" w:type="dxa"/>
            <w:textDirection w:val="lrTb"/>
            <w:noWrap w:val="false"/>
          </w:tcPr>
          <w:p>
            <w:pPr>
              <w:pStyle w:val="769"/>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投标内容（响应情况）</w:t>
            </w:r>
            <w:r/>
          </w:p>
        </w:tc>
        <w:tc>
          <w:tcPr>
            <w:tcW w:w="2318" w:type="dxa"/>
            <w:textDirection w:val="lrTb"/>
            <w:noWrap w:val="false"/>
          </w:tcPr>
          <w:p>
            <w:pPr>
              <w:pStyle w:val="769"/>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偏离说明（正偏离、无偏离、负偏离）</w:t>
            </w:r>
            <w:r/>
          </w:p>
        </w:tc>
      </w:tr>
      <w:tr>
        <w:trPr/>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服务期</w:t>
            </w:r>
            <w:r/>
          </w:p>
        </w:tc>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44"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18"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响应时间（如有）</w:t>
            </w:r>
            <w:r/>
          </w:p>
        </w:tc>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44"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18"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质保期（如有）</w:t>
            </w:r>
            <w:r/>
          </w:p>
        </w:tc>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44"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18"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付款方式</w:t>
            </w:r>
            <w:r/>
          </w:p>
        </w:tc>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44"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18"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130"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44"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18" w:type="dxa"/>
            <w:textDirection w:val="lrTb"/>
            <w:noWrap w:val="false"/>
          </w:tcPr>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供应商：（单位盖章）</w:t>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法定代表人或代理人：（签字或盖章）</w:t>
      </w:r>
      <w:r/>
    </w:p>
    <w:p>
      <w:pPr>
        <w:pStyle w:val="769"/>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         年         月       日</w:t>
      </w:r>
      <w:r/>
    </w:p>
    <w:p>
      <w:pPr>
        <w:pStyle w:val="769"/>
        <w:ind w:firstLine="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r/>
    </w:p>
    <w:p>
      <w:pPr>
        <w:pStyle w:val="759"/>
        <w:rPr>
          <w:rFonts w:hint="eastAsia" w:ascii="宋体" w:hAnsi="宋体" w:eastAsia="宋体" w:cs="宋体"/>
          <w:color w:val="000000" w:themeColor="text1"/>
          <w:szCs w:val="21"/>
          <w:highlight w:val="none"/>
          <w:lang w:eastAsia="zh-CN"/>
          <w14:textFill>
            <w14:solidFill>
              <w14:schemeClr w14:val="tx1"/>
            </w14:solidFill>
          </w14:textFill>
        </w:rPr>
      </w:pPr>
      <w:r/>
      <w:bookmarkStart w:id="41" w:name="_Ref372102919"/>
      <w:r/>
      <w:bookmarkStart w:id="42" w:name="_Toc511862087"/>
      <w:r/>
      <w:bookmarkStart w:id="43" w:name="_Ref76718628"/>
      <w:r/>
      <w:bookmarkStart w:id="44" w:name="_Toc5531"/>
      <w:r>
        <w:rPr>
          <w:rFonts w:hint="eastAsia" w:ascii="宋体" w:hAnsi="宋体" w:eastAsia="宋体" w:cs="宋体"/>
          <w:color w:val="000000" w:themeColor="text1"/>
          <w:szCs w:val="21"/>
          <w:highlight w:val="none"/>
          <w:lang w:eastAsia="zh-CN"/>
          <w14:textFill>
            <w14:solidFill>
              <w14:schemeClr w14:val="tx1"/>
            </w14:solidFill>
          </w14:textFill>
        </w:rPr>
        <w:t xml:space="preserve">10、资格证明</w:t>
      </w:r>
      <w:bookmarkEnd w:id="41"/>
      <w:r/>
      <w:bookmarkEnd w:id="42"/>
      <w:r>
        <w:rPr>
          <w:rFonts w:hint="eastAsia" w:ascii="宋体" w:hAnsi="宋体" w:eastAsia="宋体" w:cs="宋体"/>
          <w:color w:val="000000" w:themeColor="text1"/>
          <w:szCs w:val="21"/>
          <w:highlight w:val="none"/>
          <w:lang w:eastAsia="zh-CN"/>
          <w14:textFill>
            <w14:solidFill>
              <w14:schemeClr w14:val="tx1"/>
            </w14:solidFill>
          </w14:textFill>
        </w:rPr>
        <w:t xml:space="preserve">声明函</w:t>
      </w:r>
      <w:bookmarkEnd w:id="43"/>
      <w:r/>
      <w:bookmarkEnd w:id="44"/>
      <w:r/>
      <w:r/>
    </w:p>
    <w:p>
      <w:pPr>
        <w:pStyle w:val="769"/>
        <w:ind w:firstLine="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69"/>
        <w:ind w:firstLine="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关于资格文件的声明函</w:t>
      </w:r>
      <w:r/>
    </w:p>
    <w:p>
      <w:pPr>
        <w:pStyle w:val="769"/>
        <w:ind w:firstLine="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69"/>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69"/>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关于资格文件的声明函</w:t>
      </w:r>
      <w:r/>
    </w:p>
    <w:p>
      <w:pPr>
        <w:pStyle w:val="769"/>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69"/>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769"/>
        <w:ind w:firstLine="66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69"/>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69"/>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69"/>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供应商：（单位盖章）</w:t>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法定代表人或代理人：（签字或盖章）</w:t>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日期：    年    月   日               </w:t>
      </w:r>
      <w:r/>
    </w:p>
    <w:p>
      <w:pPr>
        <w:pStyle w:val="759"/>
        <w:rPr>
          <w:rFonts w:hint="eastAsia" w:ascii="宋体" w:hAnsi="宋体" w:eastAsia="宋体" w:cs="宋体"/>
          <w:color w:val="000000" w:themeColor="text1"/>
          <w:szCs w:val="21"/>
          <w:highlight w:val="none"/>
          <w:lang w:eastAsia="zh-CN"/>
          <w14:textFill>
            <w14:solidFill>
              <w14:schemeClr w14:val="tx1"/>
            </w14:solidFill>
          </w14:textFill>
        </w:rPr>
      </w:pPr>
      <w:r/>
      <w:bookmarkStart w:id="45" w:name="_Ref5458"/>
      <w:r>
        <w:rPr>
          <w:rFonts w:hint="eastAsia" w:ascii="宋体" w:hAnsi="宋体" w:eastAsia="宋体" w:cs="宋体"/>
          <w:color w:val="000000" w:themeColor="text1"/>
          <w:szCs w:val="21"/>
          <w:highlight w:val="none"/>
          <w:lang w:val="zh-CN" w:eastAsia="zh-CN"/>
          <w14:textFill>
            <w14:solidFill>
              <w14:schemeClr w14:val="tx1"/>
            </w14:solidFill>
          </w14:textFill>
        </w:rPr>
        <w:br w:type="page" w:clear="all"/>
      </w:r>
      <w:bookmarkStart w:id="46" w:name="_Toc16362"/>
      <w:r>
        <w:rPr>
          <w:rFonts w:hint="eastAsia" w:ascii="宋体" w:hAnsi="宋体" w:eastAsia="宋体" w:cs="宋体"/>
          <w:color w:val="000000" w:themeColor="text1"/>
          <w:szCs w:val="21"/>
          <w:highlight w:val="none"/>
          <w:lang w:eastAsia="zh-CN"/>
          <w14:textFill>
            <w14:solidFill>
              <w14:schemeClr w14:val="tx1"/>
            </w14:solidFill>
          </w14:textFill>
        </w:rPr>
        <w:t xml:space="preserve">11、投标单位情况表</w:t>
      </w:r>
      <w:bookmarkEnd w:id="45"/>
      <w:r/>
      <w:bookmarkEnd w:id="46"/>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Style w:val="769"/>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谈判供应商情况表</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单位名称（加盖公章）：</w:t>
      </w:r>
      <w:r/>
    </w:p>
    <w:tbl>
      <w:tblPr>
        <w:tblStyle w:val="768"/>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gridSpan w:val="2"/>
            <w:tcBorders>
              <w:right w:val="single" w:color="000000" w:sz="4" w:space="0"/>
            </w:tcBorders>
            <w:tcW w:w="1564"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p>
        </w:tc>
        <w:tc>
          <w:tcPr>
            <w:gridSpan w:val="3"/>
            <w:tcBorders>
              <w:left w:val="single" w:color="000000" w:sz="4" w:space="0"/>
            </w:tcBorders>
            <w:tcW w:w="2784"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1580" w:type="dxa"/>
            <w:vAlign w:val="center"/>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公司成立日期</w:t>
            </w:r>
            <w:r/>
          </w:p>
        </w:tc>
        <w:tc>
          <w:tcPr>
            <w:gridSpan w:val="2"/>
            <w:tcW w:w="2764" w:type="dxa"/>
            <w:vAlign w:val="center"/>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45"/>
        </w:trPr>
        <w:tc>
          <w:tcPr>
            <w:tcW w:w="650"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gridSpan w:val="2"/>
            <w:tcBorders>
              <w:right w:val="single" w:color="000000" w:sz="4" w:space="0"/>
            </w:tcBorders>
            <w:tcW w:w="1564"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总部地址</w:t>
            </w:r>
            <w:r/>
          </w:p>
        </w:tc>
        <w:tc>
          <w:tcPr>
            <w:gridSpan w:val="7"/>
            <w:tcBorders>
              <w:left w:val="single" w:color="000000" w:sz="4" w:space="0"/>
            </w:tcBorders>
            <w:tcW w:w="7128"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45"/>
        </w:trPr>
        <w:tc>
          <w:tcPr>
            <w:tcW w:w="650"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gridSpan w:val="2"/>
            <w:tcBorders>
              <w:right w:val="single" w:color="000000" w:sz="4" w:space="0"/>
            </w:tcBorders>
            <w:tcW w:w="1564" w:type="dxa"/>
            <w:vAlign w:val="center"/>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本地办事处地址</w:t>
            </w:r>
            <w:r/>
          </w:p>
        </w:tc>
        <w:tc>
          <w:tcPr>
            <w:gridSpan w:val="7"/>
            <w:tcBorders>
              <w:left w:val="single" w:color="000000" w:sz="4" w:space="0"/>
            </w:tcBorders>
            <w:tcW w:w="7128" w:type="dxa"/>
            <w:vAlign w:val="center"/>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45"/>
        </w:trPr>
        <w:tc>
          <w:tcPr>
            <w:tcW w:w="650"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right w:val="single" w:color="000000" w:sz="4" w:space="0"/>
            </w:tcBorders>
            <w:tcW w:w="1088"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tc>
        <w:tc>
          <w:tcPr>
            <w:gridSpan w:val="3"/>
            <w:tcBorders>
              <w:left w:val="single" w:color="000000" w:sz="4" w:space="0"/>
            </w:tcBorders>
            <w:tcW w:w="2773" w:type="dxa"/>
            <w:vAlign w:val="center"/>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right w:val="single" w:color="000000" w:sz="4" w:space="0"/>
            </w:tcBorders>
            <w:tcW w:w="1289"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p>
        </w:tc>
        <w:tc>
          <w:tcPr>
            <w:gridSpan w:val="3"/>
            <w:tcBorders>
              <w:left w:val="single" w:color="000000" w:sz="4" w:space="0"/>
            </w:tcBorders>
            <w:tcW w:w="3542" w:type="dxa"/>
            <w:vAlign w:val="center"/>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5"/>
        </w:trPr>
        <w:tc>
          <w:tcPr>
            <w:tcW w:w="650"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right w:val="single" w:color="000000" w:sz="4" w:space="0"/>
            </w:tcBorders>
            <w:tcW w:w="1088"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w:t>
            </w:r>
            <w:r/>
          </w:p>
        </w:tc>
        <w:tc>
          <w:tcPr>
            <w:gridSpan w:val="3"/>
            <w:tcBorders>
              <w:left w:val="single" w:color="000000" w:sz="4" w:space="0"/>
            </w:tcBorders>
            <w:tcW w:w="2773" w:type="dxa"/>
            <w:vAlign w:val="center"/>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right w:val="single" w:color="000000" w:sz="4" w:space="0"/>
            </w:tcBorders>
            <w:tcW w:w="1289"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电子邮箱</w:t>
            </w:r>
            <w:r/>
          </w:p>
        </w:tc>
        <w:tc>
          <w:tcPr>
            <w:gridSpan w:val="3"/>
            <w:tcBorders>
              <w:left w:val="single" w:color="000000" w:sz="4" w:space="0"/>
            </w:tcBorders>
            <w:tcW w:w="3542" w:type="dxa"/>
            <w:vAlign w:val="center"/>
            <w:textDirection w:val="lrTb"/>
            <w:noWrap w:val="false"/>
          </w:tcPr>
          <w:p>
            <w:pPr>
              <w:pStyle w:val="769"/>
              <w:ind w:firstLine="0"/>
              <w:jc w:val="both"/>
              <w:spacing w:line="300" w:lineRule="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r>
            <w:r/>
          </w:p>
        </w:tc>
      </w:tr>
      <w:tr>
        <w:trPr>
          <w:jc w:val="center"/>
          <w:trHeight w:val="645"/>
        </w:trPr>
        <w:tc>
          <w:tcPr>
            <w:tcW w:w="650"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right w:val="single" w:color="000000" w:sz="4" w:space="0"/>
            </w:tcBorders>
            <w:tcW w:w="1088"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单位从业人员数量</w:t>
            </w:r>
            <w:r/>
          </w:p>
        </w:tc>
        <w:tc>
          <w:tcPr>
            <w:gridSpan w:val="3"/>
            <w:tcBorders>
              <w:left w:val="single" w:color="000000" w:sz="4" w:space="0"/>
            </w:tcBorders>
            <w:tcW w:w="2773" w:type="dxa"/>
            <w:vAlign w:val="center"/>
            <w:textDirection w:val="lrTb"/>
            <w:noWrap w:val="false"/>
          </w:tcPr>
          <w:p>
            <w:pPr>
              <w:pStyle w:val="769"/>
              <w:ind w:firstLine="216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gridSpan w:val="4"/>
            <w:tcBorders>
              <w:right w:val="single" w:color="000000" w:sz="4" w:space="0"/>
            </w:tcBorders>
            <w:tcW w:w="2701" w:type="dxa"/>
            <w:vAlign w:val="center"/>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单位2024年总营业收入</w:t>
            </w:r>
            <w:r/>
          </w:p>
        </w:tc>
        <w:tc>
          <w:tcPr>
            <w:tcBorders>
              <w:left w:val="single" w:color="000000" w:sz="4" w:space="0"/>
            </w:tcBorders>
            <w:tcW w:w="2130" w:type="dxa"/>
            <w:vAlign w:val="center"/>
            <w:textDirection w:val="lrTb"/>
            <w:noWrap w:val="false"/>
          </w:tcPr>
          <w:p>
            <w:pPr>
              <w:pStyle w:val="769"/>
              <w:ind w:firstLine="147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jc w:val="center"/>
          <w:trHeight w:val="645"/>
        </w:trPr>
        <w:tc>
          <w:tcPr>
            <w:tcW w:w="650"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right w:val="single" w:color="000000" w:sz="4" w:space="0"/>
            </w:tcBorders>
            <w:tcW w:w="1088"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企业规模</w:t>
            </w:r>
            <w:r/>
          </w:p>
        </w:tc>
        <w:tc>
          <w:tcPr>
            <w:gridSpan w:val="8"/>
            <w:tcBorders>
              <w:left w:val="single" w:color="000000" w:sz="4" w:space="0"/>
            </w:tcBorders>
            <w:tcW w:w="7604"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□大型     □中型     □小型     □微型</w:t>
            </w:r>
            <w:r/>
          </w:p>
        </w:tc>
      </w:tr>
      <w:tr>
        <w:trPr>
          <w:jc w:val="center"/>
          <w:trHeight w:val="1767"/>
        </w:trPr>
        <w:tc>
          <w:tcPr>
            <w:tcW w:w="650"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gridSpan w:val="9"/>
            <w:tcW w:w="8692" w:type="dxa"/>
            <w:vAlign w:val="center"/>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主营范围</w:t>
            </w:r>
            <w:r/>
          </w:p>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1._____________________________________</w:t>
            </w:r>
            <w:r/>
          </w:p>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u w:val="single"/>
                <w14:textFill>
                  <w14:solidFill>
                    <w14:schemeClr w14:val="tx1"/>
                  </w14:solidFill>
                </w14:textFill>
              </w:rPr>
              <w:t xml:space="preserve"> ____________________________________</w:t>
            </w:r>
            <w:r/>
          </w:p>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u w:val="single"/>
                <w14:textFill>
                  <w14:solidFill>
                    <w14:schemeClr w14:val="tx1"/>
                  </w14:solidFill>
                </w14:textFill>
              </w:rPr>
              <w:t xml:space="preserve">____________________________________ </w:t>
            </w:r>
            <w:r/>
          </w:p>
        </w:tc>
      </w:tr>
      <w:tr>
        <w:trPr>
          <w:jc w:val="center"/>
          <w:trHeight w:val="1548"/>
        </w:trPr>
        <w:tc>
          <w:tcPr>
            <w:tcW w:w="650"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gridSpan w:val="3"/>
            <w:tcW w:w="2445" w:type="dxa"/>
            <w:vAlign w:val="center"/>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最近3年内在经营过程中受到何种奖励或处分</w:t>
            </w:r>
            <w:r/>
          </w:p>
        </w:tc>
        <w:tc>
          <w:tcPr>
            <w:gridSpan w:val="6"/>
            <w:tcW w:w="6247" w:type="dxa"/>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18"/>
        </w:trPr>
        <w:tc>
          <w:tcPr>
            <w:tcW w:w="650"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gridSpan w:val="3"/>
            <w:tcBorders>
              <w:right w:val="single" w:color="000000" w:sz="4" w:space="0"/>
            </w:tcBorders>
            <w:tcW w:w="2445" w:type="dxa"/>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最近3年内有无因售假、售劣或是其他原因被消费者投诉或起诉的情况及说明</w:t>
            </w:r>
            <w:r/>
          </w:p>
        </w:tc>
        <w:tc>
          <w:tcPr>
            <w:gridSpan w:val="6"/>
            <w:tcBorders>
              <w:left w:val="single" w:color="000000" w:sz="4" w:space="0"/>
            </w:tcBorders>
            <w:tcW w:w="6247" w:type="dxa"/>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1392"/>
        </w:trPr>
        <w:tc>
          <w:tcPr>
            <w:tcW w:w="650" w:type="dxa"/>
            <w:vAlign w:val="center"/>
            <w:textDirection w:val="lrTb"/>
            <w:noWrap w:val="false"/>
          </w:tcPr>
          <w:p>
            <w:pPr>
              <w:pStyle w:val="769"/>
              <w:ind w:firstLine="0"/>
              <w:jc w:val="center"/>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gridSpan w:val="3"/>
            <w:tcBorders>
              <w:right w:val="single" w:color="000000" w:sz="4" w:space="0"/>
            </w:tcBorders>
            <w:tcW w:w="2445" w:type="dxa"/>
            <w:vAlign w:val="center"/>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c>
          <w:tcPr>
            <w:gridSpan w:val="6"/>
            <w:tcBorders>
              <w:left w:val="single" w:color="000000" w:sz="4" w:space="0"/>
            </w:tcBorders>
            <w:tcW w:w="6247" w:type="dxa"/>
            <w:vAlign w:val="center"/>
            <w:textDirection w:val="lrTb"/>
            <w:noWrap w:val="false"/>
          </w:tcPr>
          <w:p>
            <w:pPr>
              <w:pStyle w:val="769"/>
              <w:ind w:firstLine="0"/>
              <w:jc w:val="both"/>
              <w:spacing w:line="30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Style w:val="758"/>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bookmarkStart w:id="47" w:name="_Toc2219"/>
      <w:r>
        <w:rPr>
          <w:rFonts w:hint="eastAsia" w:ascii="宋体" w:hAnsi="宋体" w:eastAsia="宋体" w:cs="宋体"/>
          <w:color w:val="000000" w:themeColor="text1"/>
          <w:highlight w:val="none"/>
          <w14:textFill>
            <w14:solidFill>
              <w14:schemeClr w14:val="tx1"/>
            </w14:solidFill>
          </w14:textFill>
        </w:rPr>
        <w:t xml:space="preserve">第四章 采购需求</w:t>
      </w:r>
      <w:bookmarkEnd w:id="47"/>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spacing w:line="360" w:lineRule="auto"/>
        <w:tabs>
          <w:tab w:val="left" w:pos="525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受</w:t>
      </w:r>
      <w:r>
        <w:rPr>
          <w:rFonts w:hint="eastAsia" w:ascii="宋体" w:hAnsi="宋体" w:eastAsia="宋体" w:cs="宋体"/>
          <w:color w:val="000000" w:themeColor="text1"/>
          <w:szCs w:val="21"/>
          <w:highlight w:val="none"/>
          <w:lang w:eastAsia="zh-CN"/>
          <w14:textFill>
            <w14:solidFill>
              <w14:schemeClr w14:val="tx1"/>
            </w14:solidFill>
          </w14:textFill>
        </w:rPr>
        <w:t xml:space="preserve">昆山市中医医院 </w:t>
      </w:r>
      <w:r>
        <w:rPr>
          <w:rFonts w:hint="eastAsia" w:ascii="宋体" w:hAnsi="宋体" w:eastAsia="宋体" w:cs="宋体"/>
          <w:color w:val="000000" w:themeColor="text1"/>
          <w:szCs w:val="21"/>
          <w:highlight w:val="none"/>
          <w14:textFill>
            <w14:solidFill>
              <w14:schemeClr w14:val="tx1"/>
            </w14:solidFill>
          </w14:textFill>
        </w:rPr>
        <w:t xml:space="preserve">委托，</w:t>
      </w:r>
      <w:r>
        <w:rPr>
          <w:rFonts w:hint="eastAsia" w:ascii="宋体" w:hAnsi="宋体" w:eastAsia="宋体" w:cs="宋体"/>
          <w:color w:val="000000" w:themeColor="text1"/>
          <w:szCs w:val="21"/>
          <w:highlight w:val="none"/>
          <w:lang w:eastAsia="zh-CN"/>
          <w14:textFill>
            <w14:solidFill>
              <w14:schemeClr w14:val="tx1"/>
            </w14:solidFill>
          </w14:textFill>
        </w:rPr>
        <w:t xml:space="preserve">江苏恒泰建设工程咨询有限公司</w:t>
      </w:r>
      <w:r>
        <w:rPr>
          <w:rFonts w:hint="eastAsia" w:ascii="宋体" w:hAnsi="宋体" w:eastAsia="宋体" w:cs="宋体"/>
          <w:color w:val="000000" w:themeColor="text1"/>
          <w:szCs w:val="21"/>
          <w:highlight w:val="none"/>
          <w14:textFill>
            <w14:solidFill>
              <w14:schemeClr w14:val="tx1"/>
            </w14:solidFill>
          </w14:textFill>
        </w:rPr>
        <w:t xml:space="preserve">对其</w:t>
      </w:r>
      <w:r>
        <w:rPr>
          <w:rFonts w:hint="eastAsia" w:ascii="宋体" w:hAnsi="宋体" w:eastAsia="宋体" w:cs="宋体"/>
          <w:color w:val="000000" w:themeColor="text1"/>
          <w:szCs w:val="21"/>
          <w:highlight w:val="none"/>
          <w:lang w:eastAsia="zh-CN"/>
          <w14:textFill>
            <w14:solidFill>
              <w14:schemeClr w14:val="tx1"/>
            </w14:solidFill>
          </w14:textFill>
        </w:rPr>
        <w:t xml:space="preserve">昆山市中医医院数字化病案扫描项目</w:t>
      </w:r>
      <w:r>
        <w:rPr>
          <w:rFonts w:hint="eastAsia" w:ascii="宋体" w:hAnsi="宋体" w:eastAsia="宋体" w:cs="宋体"/>
          <w:color w:val="000000" w:themeColor="text1"/>
          <w:szCs w:val="21"/>
          <w:highlight w:val="none"/>
          <w14:textFill>
            <w14:solidFill>
              <w14:schemeClr w14:val="tx1"/>
            </w14:solidFill>
          </w14:textFill>
        </w:rPr>
        <w:t xml:space="preserve">进行竞争性谈判采购。欢迎有资格条件的供应商前来参加谈判。</w:t>
      </w:r>
      <w:r/>
    </w:p>
    <w:p>
      <w:pPr>
        <w:ind w:firstLine="420"/>
        <w:spacing w:line="360" w:lineRule="auto"/>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pPr>
      <w:r/>
      <w:bookmarkStart w:id="48" w:name="_Hlk75856637"/>
      <w:r/>
      <w:bookmarkStart w:id="49" w:name="_Toc509332893"/>
      <w:r/>
      <w:bookmarkStart w:id="50" w:name="_Toc475023243"/>
      <w:r/>
      <w:bookmarkStart w:id="51" w:name="_Toc328386624"/>
      <w:r>
        <w:rPr>
          <w:rFonts w:hint="eastAsia" w:ascii="宋体" w:hAnsi="宋体" w:eastAsia="宋体" w:cs="宋体"/>
          <w:color w:val="000000" w:themeColor="text1"/>
          <w:szCs w:val="21"/>
          <w:highlight w:val="none"/>
          <w14:textFill>
            <w14:solidFill>
              <w14:schemeClr w14:val="tx1"/>
            </w14:solidFill>
          </w14:textFill>
        </w:rPr>
        <w:t xml:space="preserve">一、项目编号：</w:t>
      </w:r>
      <w:bookmarkEnd w:id="48"/>
      <w:r/>
      <w:bookmarkEnd w:id="49"/>
      <w:r/>
      <w:bookmarkEnd w:id="50"/>
      <w:r/>
      <w:bookmarkEnd w:id="51"/>
      <w:r>
        <w:rPr>
          <w:rFonts w:hint="eastAsia" w:ascii="宋体" w:hAnsi="宋体" w:cs="宋体"/>
          <w:color w:val="000000" w:themeColor="text1"/>
          <w:highlight w:val="none"/>
          <w:lang w:eastAsia="zh-CN"/>
          <w14:textFill>
            <w14:solidFill>
              <w14:schemeClr w14:val="tx1"/>
            </w14:solidFill>
          </w14:textFill>
        </w:rPr>
        <w:t xml:space="preserve">JSZC-320583-HTJS-T2026-0002</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二、采购内容：</w:t>
      </w:r>
      <w:r>
        <w:rPr>
          <w:rFonts w:hint="eastAsia" w:ascii="宋体" w:hAnsi="宋体" w:eastAsia="宋体" w:cs="宋体"/>
          <w:color w:val="000000" w:themeColor="text1"/>
          <w:szCs w:val="21"/>
          <w:highlight w:val="none"/>
          <w:lang w:eastAsia="zh-CN"/>
          <w14:textFill>
            <w14:solidFill>
              <w14:schemeClr w14:val="tx1"/>
            </w14:solidFill>
          </w14:textFill>
        </w:rPr>
        <w:t xml:space="preserve">昆山市中医医院数字化病案扫描项目</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三、服务时间：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年；</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四、服务内容及要求：</w:t>
      </w:r>
      <w:r/>
    </w:p>
    <w:p>
      <w:pPr>
        <w:ind w:firstLine="422"/>
        <w:jc w:val="left"/>
        <w:spacing w:after="160"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（一）、要求在规定时间内完成医院约1100万张指定病案的纸质数字化病案制作工作。按照不超过0.088元/页扫描价格预算价 ，以实际发生的扫描数量为准，服务包括且不限于：</w:t>
      </w:r>
      <w:r/>
    </w:p>
    <w:p>
      <w:pPr>
        <w:numPr>
          <w:ilvl w:val="0"/>
          <w:numId w:val="9"/>
        </w:numPr>
        <w:ind w:left="400"/>
        <w:jc w:val="left"/>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.病案首页导入；</w:t>
      </w:r>
      <w:r/>
    </w:p>
    <w:p>
      <w:pPr>
        <w:numPr>
          <w:ilvl w:val="0"/>
          <w:numId w:val="9"/>
        </w:numPr>
        <w:ind w:left="400"/>
        <w:jc w:val="left"/>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.病案翻拍制作；</w:t>
      </w:r>
      <w:r/>
    </w:p>
    <w:p>
      <w:pPr>
        <w:numPr>
          <w:ilvl w:val="0"/>
          <w:numId w:val="9"/>
        </w:numPr>
        <w:ind w:left="400"/>
        <w:jc w:val="left"/>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.病案制作质检；</w:t>
      </w:r>
      <w:r/>
    </w:p>
    <w:p>
      <w:pPr>
        <w:numPr>
          <w:ilvl w:val="0"/>
          <w:numId w:val="9"/>
        </w:numPr>
        <w:ind w:left="400"/>
        <w:jc w:val="left"/>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.病案库存条码定位；</w:t>
      </w:r>
      <w:r/>
    </w:p>
    <w:p>
      <w:pPr>
        <w:numPr>
          <w:ilvl w:val="0"/>
          <w:numId w:val="9"/>
        </w:numPr>
        <w:ind w:left="400"/>
        <w:jc w:val="left"/>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.数字化病案应用系统服务。</w:t>
      </w:r>
      <w:r/>
    </w:p>
    <w:p>
      <w:pPr>
        <w:ind w:right="6"/>
        <w:jc w:val="both"/>
        <w:spacing w:before="2" w:line="352" w:lineRule="auto"/>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t xml:space="preserve">（二）、病案交接：</w:t>
      </w:r>
      <w:r/>
    </w:p>
    <w:p>
      <w:pPr>
        <w:numPr>
          <w:ilvl w:val="0"/>
          <w:numId w:val="10"/>
        </w:numPr>
        <w:ind w:right="6"/>
        <w:jc w:val="both"/>
        <w:spacing w:before="2" w:line="352" w:lineRule="auto"/>
        <w:rPr>
          <w:rFonts w:hint="eastAsia" w:ascii="宋体" w:hAnsi="宋体" w:eastAsia="宋体" w:cs="宋体"/>
          <w:color w:val="000000" w:themeColor="text1"/>
          <w:spacing w:val="-1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sz w:val="21"/>
          <w:szCs w:val="21"/>
          <w:highlight w:val="none"/>
          <w:lang w:val="en-US" w:eastAsia="zh-CN" w:bidi="ar-SA"/>
          <w14:textFill>
            <w14:solidFill>
              <w14:schemeClr w14:val="tx1"/>
            </w14:solidFill>
          </w14:textFill>
        </w:rPr>
        <w:t xml:space="preserve">提供翻拍人员用于病案库房人员进行病案交</w:t>
      </w:r>
      <w:r>
        <w:rPr>
          <w:rFonts w:hint="eastAsia" w:ascii="宋体" w:hAnsi="宋体" w:eastAsia="宋体" w:cs="宋体"/>
          <w:color w:val="000000" w:themeColor="text1"/>
          <w:spacing w:val="-11"/>
          <w:sz w:val="21"/>
          <w:szCs w:val="21"/>
          <w:highlight w:val="none"/>
          <w:lang w:val="en-US" w:eastAsia="zh-CN" w:bidi="ar-SA"/>
          <w14:textFill>
            <w14:solidFill>
              <w14:schemeClr w14:val="tx1"/>
            </w14:solidFill>
          </w14:textFill>
        </w:rPr>
        <w:t xml:space="preserve">接的功能，预防病案丢失追踪。支持创建批次、条码绑定病案、病案绑定批次、交接单打印。</w:t>
      </w:r>
      <w:r/>
    </w:p>
    <w:p>
      <w:pPr>
        <w:ind w:left="120"/>
        <w:spacing w:before="82" w:line="219" w:lineRule="auto"/>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（三）、病案加工：</w:t>
      </w:r>
      <w:r>
        <w:rPr>
          <w:rFonts w:hint="eastAsia" w:ascii="宋体" w:hAnsi="宋体" w:eastAsia="宋体" w:cs="宋体"/>
          <w:b/>
          <w:color w:val="000000" w:themeColor="text1"/>
          <w:szCs w:val="21"/>
          <w:highlight w:val="none"/>
          <w14:textFill>
            <w14:solidFill>
              <w14:schemeClr w14:val="tx1"/>
            </w14:solidFill>
          </w14:textFill>
        </w:rPr>
        <w:t xml:space="preserve">（带</w:t>
      </w: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须提供相应材料进行佐证；否则视为无效投标）</w:t>
      </w:r>
      <w:r/>
    </w:p>
    <w:p>
      <w:pPr>
        <w:ind w:left="122" w:right="2" w:hanging="109"/>
        <w:keepLines w:val="0"/>
        <w:keepNext w:val="0"/>
        <w:pageBreakBefore w:val="0"/>
        <w:spacing w:before="173" w:line="360" w:lineRule="auto"/>
        <w:widowControl w:val="off"/>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1.▲整体化应用：针对医院存在的纸质病历，支持采用拍摄或扫描的方式实现纸质病案数字化，并能够与采集的电子病案汇总成一份完整病案；病案加工端具备加工流程控制功能，包括交接、绑定、派发、加工、审核、归还、装箱、上架。（需提供全流程控制节点软件功能截图并加盖公章）</w:t>
      </w:r>
      <w:r/>
    </w:p>
    <w:p>
      <w:pPr>
        <w:ind w:left="122" w:right="2" w:hanging="109"/>
        <w:keepLines w:val="0"/>
        <w:keepNext w:val="0"/>
        <w:pageBreakBefore w:val="0"/>
        <w:spacing w:before="17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2.支持多种高拍仪拍摄和高速扫描仪扫描两种模式。高速扫描仪速度</w:t>
      </w: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要求每分钟60张以上并支持双面扫描方式。</w:t>
      </w:r>
      <w:r/>
    </w:p>
    <w:p>
      <w:pPr>
        <w:keepLines w:val="0"/>
        <w:keepNext w:val="0"/>
        <w:pageBreakBefore w:val="0"/>
        <w:spacing w:before="154"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3.图片预览：系统拍摄过程中应能够预览</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拍摄效果。</w:t>
      </w:r>
      <w:r/>
    </w:p>
    <w:p>
      <w:pPr>
        <w:keepLines w:val="0"/>
        <w:keepNext w:val="0"/>
        <w:pageBreakBefore w:val="0"/>
        <w:spacing w:before="179"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4.图片编辑：拍摄过程中能够对所拍图片进行</w:t>
      </w: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编辑修改，包括校准、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旋转、截取、涂擦、去黑边等操作。</w:t>
      </w:r>
      <w:r/>
    </w:p>
    <w:p>
      <w:pPr>
        <w:keepLines w:val="0"/>
        <w:keepNext w:val="0"/>
        <w:pageBreakBefore w:val="0"/>
        <w:spacing w:before="16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5.原件损坏标记：加工时可对某一页进行标记原件</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是否损坏。</w:t>
      </w:r>
      <w:r/>
    </w:p>
    <w:p>
      <w:pPr>
        <w:ind w:right="41"/>
        <w:keepLines w:val="0"/>
        <w:keepNext w:val="0"/>
        <w:pageBreakBefore w:val="0"/>
        <w:spacing w:before="169"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6.导入PDF:拍摄过程中，支持导入PDF,选择对应的</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加工分类后，</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可选择导入PDF文件，已导入的PDF文件支</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持重新分类。</w:t>
      </w:r>
      <w:r/>
    </w:p>
    <w:p>
      <w:pPr>
        <w:ind w:right="216"/>
        <w:keepLines w:val="0"/>
        <w:keepNext w:val="0"/>
        <w:pageBreakBefore w:val="0"/>
        <w:spacing w:before="209"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7.系统拍摄过程中可以随时维护系统分类(支持批量),删除(支持</w:t>
      </w:r>
      <w:r>
        <w:rPr>
          <w:rFonts w:hint="eastAsia" w:ascii="宋体" w:hAnsi="宋体" w:eastAsia="宋体" w:cs="宋体"/>
          <w:color w:val="000000" w:themeColor="text1"/>
          <w:spacing w:val="9"/>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批量)、并支持补拍、重拍、返修、已打印病历修改限</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制。</w:t>
      </w:r>
      <w:r/>
    </w:p>
    <w:p>
      <w:pPr>
        <w:numPr>
          <w:ilvl w:val="0"/>
          <w:numId w:val="0"/>
        </w:numPr>
        <w:ind w:right="6"/>
        <w:jc w:val="both"/>
        <w:keepLines w:val="0"/>
        <w:keepNext w:val="0"/>
        <w:pageBreakBefore w:val="0"/>
        <w:spacing w:before="2" w:line="360" w:lineRule="auto"/>
        <w:widowControl w:val="off"/>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8.完整性校验：病案上传前校验主索引、重复页、必含分类、首页质</w:t>
      </w:r>
      <w:r>
        <w:rPr>
          <w:rFonts w:hint="eastAsia" w:ascii="宋体" w:hAnsi="宋体" w:eastAsia="宋体" w:cs="宋体"/>
          <w:color w:val="000000" w:themeColor="text1"/>
          <w:spacing w:val="1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控等；可做病案缺失登记。</w:t>
      </w:r>
      <w:r/>
    </w:p>
    <w:p>
      <w:pPr>
        <w:keepLines w:val="0"/>
        <w:keepNext w:val="0"/>
        <w:pageBreakBefore w:val="0"/>
        <w:spacing w:before="95"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9.应支持黑白、彩色拍摄设置切换。</w:t>
      </w:r>
      <w:r/>
    </w:p>
    <w:p>
      <w:pPr>
        <w:numPr>
          <w:ilvl w:val="0"/>
          <w:numId w:val="0"/>
        </w:num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存储机制：</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不限于任何</w:t>
      </w:r>
      <w:r>
        <w:rPr>
          <w:rFonts w:hint="eastAsia" w:ascii="宋体" w:hAnsi="宋体" w:eastAsia="宋体" w:cs="宋体"/>
          <w:color w:val="000000" w:themeColor="text1"/>
          <w:szCs w:val="24"/>
          <w:highlight w:val="none"/>
          <w:lang w:val="en-US" w:eastAsia="zh-Hans" w:bidi="ar-SA"/>
          <w14:textFill>
            <w14:solidFill>
              <w14:schemeClr w14:val="tx1"/>
            </w14:solidFill>
          </w14:textFill>
        </w:rPr>
        <w:t xml:space="preserve">加密方式存储</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Hans" w:bidi="ar-SA"/>
          <w14:textFill>
            <w14:solidFill>
              <w14:schemeClr w14:val="tx1"/>
            </w14:solidFill>
          </w14:textFill>
        </w:rPr>
        <w:t xml:space="preserve">清晰度 500 万像素以上</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。（提供加密格式存储及清晰度500万以上软件功能界面截图并加盖供应商公章（鲜章））。</w:t>
      </w:r>
      <w:r/>
    </w:p>
    <w:p>
      <w:pPr>
        <w:keepLines w:val="0"/>
        <w:keepNext w:val="0"/>
        <w:pageBreakBefore w:val="0"/>
        <w:spacing w:before="149"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11.图片方式上传：支持webservice方式上传图片至服务器。</w:t>
      </w:r>
      <w:r/>
    </w:p>
    <w:p>
      <w:pPr>
        <w:ind w:right="444"/>
        <w:keepLines w:val="0"/>
        <w:keepNext w:val="0"/>
        <w:pageBreakBefore w:val="0"/>
        <w:spacing w:before="19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12.大屏幕显示器：在加工环节支持大屏幕显示器，支持分辨率</w:t>
      </w:r>
      <w:r>
        <w:rPr>
          <w:rFonts w:hint="eastAsia" w:ascii="宋体" w:hAnsi="宋体" w:eastAsia="宋体" w:cs="宋体"/>
          <w:color w:val="000000" w:themeColor="text1"/>
          <w:spacing w:val="15"/>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1920*1080以上，具有所见即所得的效果。</w:t>
      </w:r>
      <w:r/>
    </w:p>
    <w:p>
      <w:pPr>
        <w:keepLines w:val="0"/>
        <w:keepNext w:val="0"/>
        <w:pageBreakBefore w:val="0"/>
        <w:spacing w:before="15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13.特殊病历标记：针对特殊病案或原件损</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坏病历具有标记功能，</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形成台账并支持查询。</w:t>
      </w:r>
      <w:r/>
    </w:p>
    <w:p>
      <w:pPr>
        <w:jc w:val="both"/>
        <w:keepLines w:val="0"/>
        <w:keepNext w:val="0"/>
        <w:pageBreakBefore w:val="0"/>
        <w:spacing w:before="13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14.数据缓存：支持加工端暂存一定天数数据</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，防止数据出现丢失，</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要求具备临时保存功能。</w:t>
      </w:r>
      <w:r/>
    </w:p>
    <w:p>
      <w:pPr>
        <w:ind w:right="14"/>
        <w:keepLines w:val="0"/>
        <w:keepNext w:val="0"/>
        <w:pageBreakBefore w:val="0"/>
        <w:spacing w:before="132"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15.基本信息录入：将历史病案信息录入系统，支持患者基础信息录</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入。</w:t>
      </w:r>
      <w:r/>
    </w:p>
    <w:p>
      <w:pPr>
        <w:numPr>
          <w:ilvl w:val="0"/>
          <w:numId w:val="0"/>
        </w:numPr>
        <w:ind w:right="6"/>
        <w:jc w:val="both"/>
        <w:keepLines w:val="0"/>
        <w:keepNext w:val="0"/>
        <w:pageBreakBefore w:val="0"/>
        <w:spacing w:before="2"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16.PDF自动分类：根据设置的分类关键字信息，OC</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R识别文档信息</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完成对PDF图像内容的自动分类，可根据</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住院号-次数或病案号-姓名</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的方式导入PDF文件。根据设置的关键字</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信息，患者档案信息导入后</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将自动解析。</w:t>
      </w:r>
      <w:r/>
    </w:p>
    <w:p>
      <w:pPr>
        <w:numPr>
          <w:ilvl w:val="0"/>
          <w:numId w:val="0"/>
        </w:numPr>
        <w:ind w:right="6"/>
        <w:jc w:val="both"/>
        <w:keepLines w:val="0"/>
        <w:keepNext w:val="0"/>
        <w:pageBreakBefore w:val="0"/>
        <w:spacing w:before="2" w:line="360" w:lineRule="auto"/>
        <w:widowControl w:val="off"/>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t xml:space="preserve">（四）、病案管理：</w:t>
      </w:r>
      <w:r/>
    </w:p>
    <w:p>
      <w:pPr>
        <w:ind w:right="13"/>
        <w:keepLines w:val="0"/>
        <w:keepNext w:val="0"/>
        <w:pageBreakBefore w:val="0"/>
        <w:spacing w:before="105"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人工审核：可对病例内容进行整体、单独图片的审核，病案漏扫情况审核。能够审核出质量不合格的图片包括手影、模糊、空白页、歪 斜、截断、黑边。（提供人工审核及手影、模糊、空白页、歪斜、截断、黑边软件功能界面截图并加盖供应商公章（鲜章））</w:t>
      </w:r>
      <w:r/>
    </w:p>
    <w:p>
      <w:pPr>
        <w:keepLines w:val="0"/>
        <w:keepNext w:val="0"/>
        <w:pageBreakBefore w:val="0"/>
        <w:spacing w:before="131"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2.审核机制中应支持放大镜功能，具备图片编辑功能。</w:t>
      </w:r>
      <w:r/>
    </w:p>
    <w:p>
      <w:pPr>
        <w:jc w:val="both"/>
        <w:keepLines w:val="0"/>
        <w:keepNext w:val="0"/>
        <w:pageBreakBefore w:val="0"/>
        <w:spacing w:before="195"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3.项目抽查：多种抽查策略，抽查方式，</w:t>
      </w: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严格把控病案加工质量。</w:t>
      </w:r>
      <w:r/>
    </w:p>
    <w:p>
      <w:pPr>
        <w:keepLines w:val="0"/>
        <w:keepNext w:val="0"/>
        <w:pageBreakBefore w:val="0"/>
        <w:spacing w:before="18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4.整份删除：支持对拍错的病案进行整份删除。</w:t>
      </w:r>
      <w:r/>
    </w:p>
    <w:p>
      <w:pPr>
        <w:keepLines w:val="0"/>
        <w:keepNext w:val="0"/>
        <w:pageBreakBefore w:val="0"/>
        <w:spacing w:before="152"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bidi="ar-SA"/>
          <w14:textFill>
            <w14:solidFill>
              <w14:schemeClr w14:val="tx1"/>
            </w14:solidFill>
          </w14:textFill>
        </w:rPr>
        <w:t xml:space="preserve">5.病案错误检查：支持自动检查服务器上实际存储的图像信息与数</w:t>
      </w:r>
      <w:r>
        <w:rPr>
          <w:rFonts w:hint="eastAsia" w:ascii="宋体" w:hAnsi="宋体" w:eastAsia="宋体" w:cs="宋体"/>
          <w:color w:val="000000" w:themeColor="text1"/>
          <w:spacing w:val="-14"/>
          <w:sz w:val="21"/>
          <w:szCs w:val="21"/>
          <w:highlight w:val="none"/>
          <w:lang w:val="en-US" w:eastAsia="zh-CN" w:bidi="ar-SA"/>
          <w14:textFill>
            <w14:solidFill>
              <w14:schemeClr w14:val="tx1"/>
            </w14:solidFill>
          </w14:textFill>
        </w:rPr>
        <w:t xml:space="preserve">据库中记录的图像数据是否一致，不一致则被系统视为错误病案信息，</w:t>
      </w: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且把相应的错误文件名及路径列出来。</w:t>
      </w:r>
      <w:r/>
    </w:p>
    <w:p>
      <w:pPr>
        <w:keepLines w:val="0"/>
        <w:keepNext w:val="0"/>
        <w:pageBreakBefore w:val="0"/>
        <w:spacing w:before="164"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6.支持病案导出(批量、单份、单页、自定义分类)。</w:t>
      </w:r>
      <w:r/>
    </w:p>
    <w:p>
      <w:pPr>
        <w:numPr>
          <w:ilvl w:val="0"/>
          <w:numId w:val="0"/>
        </w:numPr>
        <w:ind w:right="6"/>
        <w:jc w:val="both"/>
        <w:keepLines w:val="0"/>
        <w:keepNext w:val="0"/>
        <w:pageBreakBefore w:val="0"/>
        <w:spacing w:before="2" w:line="360" w:lineRule="auto"/>
        <w:widowControl w:val="off"/>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3"/>
          <w:sz w:val="21"/>
          <w:szCs w:val="21"/>
          <w:highlight w:val="none"/>
          <w:lang w:val="en-US" w:eastAsia="zh-CN" w:bidi="ar-SA"/>
          <w14:textFill>
            <w14:solidFill>
              <w14:schemeClr w14:val="tx1"/>
            </w14:solidFill>
          </w14:textFill>
        </w:rPr>
        <w:t xml:space="preserve">7.纸质借阅管理：支持纸质病案借阅管理，包括纸质借阅、纸质归还、</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借阅记录查看，借阅记录可在病案浏览页面的时间轴展示。</w:t>
      </w:r>
      <w:r/>
    </w:p>
    <w:p>
      <w:pPr>
        <w:numPr>
          <w:ilvl w:val="0"/>
          <w:numId w:val="0"/>
        </w:numPr>
        <w:jc w:val="both"/>
        <w:keepLines w:val="0"/>
        <w:keepNext w:val="0"/>
        <w:pageBreakBefore w:val="0"/>
        <w:spacing w:line="360" w:lineRule="auto"/>
        <w:widowControl w:val="off"/>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pacing w:val="-13"/>
          <w:sz w:val="21"/>
          <w:szCs w:val="21"/>
          <w:highlight w:val="none"/>
          <w:lang w:val="en-US" w:eastAsia="zh-CN" w:bidi="ar-SA"/>
          <w14:textFill>
            <w14:solidFill>
              <w14:schemeClr w14:val="tx1"/>
            </w14:solidFill>
          </w14:textFill>
        </w:rPr>
        <w:t xml:space="preserve">▲完整性验证机制：必含项验证：图片拍摄提交时，根据病案首页数据逻辑提醒病案归档应包含的报告，自动启动设置的必含分类及分类的上下限验证。（提供必含分类分类的上下限验证软件功能界面截图并加盖供应商公章（鲜章）</w:t>
      </w:r>
      <w:r/>
    </w:p>
    <w:p>
      <w:pPr>
        <w:ind w:left="120"/>
        <w:keepLines w:val="0"/>
        <w:keepNext w:val="0"/>
        <w:pageBreakBefore w:val="0"/>
        <w:spacing w:before="82" w:line="360" w:lineRule="auto"/>
        <w:widowControl w:val="off"/>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（五）、病案上架：</w:t>
      </w:r>
      <w:r/>
    </w:p>
    <w:p>
      <w:pPr>
        <w:numPr>
          <w:ilvl w:val="0"/>
          <w:numId w:val="0"/>
        </w:numPr>
        <w:ind w:right="6"/>
        <w:jc w:val="both"/>
        <w:keepLines w:val="0"/>
        <w:keepNext w:val="0"/>
        <w:pageBreakBefore w:val="0"/>
        <w:spacing w:before="2"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1.提供确认装箱、语音、未(已)装箱病案查询</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、箱号替换及查询、</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上架等业务功能。</w:t>
      </w:r>
      <w:r/>
    </w:p>
    <w:p>
      <w:pPr>
        <w:ind w:right="92"/>
        <w:keepLines w:val="0"/>
        <w:keepNext w:val="0"/>
        <w:pageBreakBefore w:val="0"/>
        <w:spacing w:before="132"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2.支持装箱：箱号、录入病案号(条码号)、确认装箱、封箱、上架</w:t>
      </w:r>
      <w:r>
        <w:rPr>
          <w:rFonts w:hint="eastAsia" w:ascii="宋体" w:hAnsi="宋体" w:eastAsia="宋体" w:cs="宋体"/>
          <w:color w:val="000000" w:themeColor="text1"/>
          <w:spacing w:val="12"/>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内容。</w:t>
      </w:r>
      <w:r/>
    </w:p>
    <w:p>
      <w:pPr>
        <w:ind w:right="15"/>
        <w:keepLines w:val="0"/>
        <w:keepNext w:val="0"/>
        <w:pageBreakBefore w:val="0"/>
        <w:spacing w:before="152"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3.支持病案装箱：提供病案装箱、箱号创建、查询上架、</w:t>
      </w:r>
      <w:r>
        <w:rPr>
          <w:rFonts w:hint="eastAsia" w:ascii="宋体" w:hAnsi="宋体" w:eastAsia="宋体" w:cs="宋体"/>
          <w:color w:val="000000" w:themeColor="text1"/>
          <w:spacing w:val="-7"/>
          <w:sz w:val="21"/>
          <w:szCs w:val="21"/>
          <w:highlight w:val="none"/>
          <w:lang w:val="en-US" w:eastAsia="zh-CN" w:bidi="ar-SA"/>
          <w14:textFill>
            <w14:solidFill>
              <w14:schemeClr w14:val="tx1"/>
            </w14:solidFill>
          </w14:textFill>
        </w:rPr>
        <w:t xml:space="preserve">库房库位维</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护、箱内顺序调整等功能。</w:t>
      </w:r>
      <w:r/>
    </w:p>
    <w:p>
      <w:pPr>
        <w:ind w:right="35"/>
        <w:keepLines w:val="0"/>
        <w:keepNext w:val="0"/>
        <w:pageBreakBefore w:val="0"/>
        <w:spacing w:before="16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4.支持病案上架：含箱号条码打印、导出excel、打开语音、绑定条</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码、入库操作功能等。</w:t>
      </w:r>
      <w:r/>
    </w:p>
    <w:p>
      <w:pPr>
        <w:ind w:right="12"/>
        <w:keepLines w:val="0"/>
        <w:keepNext w:val="0"/>
        <w:pageBreakBefore w:val="0"/>
        <w:spacing w:before="16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5.装箱提醒：已扫描已审核未装箱病历数量，审核超天病案数量，支</w:t>
      </w:r>
      <w:r>
        <w:rPr>
          <w:rFonts w:hint="eastAsia" w:ascii="宋体" w:hAnsi="宋体" w:eastAsia="宋体" w:cs="宋体"/>
          <w:color w:val="000000" w:themeColor="text1"/>
          <w:spacing w:val="29"/>
          <w:sz w:val="21"/>
          <w:szCs w:val="21"/>
          <w:highlight w:val="none"/>
          <w:lang w:val="en-US" w:eastAsia="zh-CN" w:bidi="ar-SA"/>
          <w14:textFill>
            <w14:solidFill>
              <w14:schemeClr w14:val="tx1"/>
            </w14:solidFill>
          </w14:textFill>
        </w:rPr>
        <w:t xml:space="preserve">持钻取</w:t>
      </w:r>
      <w:r>
        <w:rPr>
          <w:rFonts w:hint="eastAsia" w:ascii="宋体" w:hAnsi="宋体" w:eastAsia="宋体" w:cs="宋体"/>
          <w:color w:val="000000" w:themeColor="text1"/>
          <w:spacing w:val="-59"/>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29"/>
          <w:sz w:val="21"/>
          <w:szCs w:val="21"/>
          <w:highlight w:val="none"/>
          <w:lang w:val="en-US" w:eastAsia="zh-CN" w:bidi="ar-SA"/>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6.支持库房库位维护：库房添加、维护；库位添加(名称、标识、序</w:t>
      </w:r>
      <w:r>
        <w:rPr>
          <w:rFonts w:hint="eastAsia" w:ascii="宋体" w:hAnsi="宋体" w:eastAsia="宋体" w:cs="宋体"/>
          <w:color w:val="000000" w:themeColor="text1"/>
          <w:spacing w:val="18"/>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号段、描述)等数据维护。</w:t>
      </w:r>
      <w:r/>
    </w:p>
    <w:p>
      <w:pPr>
        <w:keepLines w:val="0"/>
        <w:keepNext w:val="0"/>
        <w:pageBreakBefore w:val="0"/>
        <w:spacing w:line="360" w:lineRule="auto"/>
        <w:widowControl w:val="off"/>
        <w:rPr>
          <w:rFonts w:hint="eastAsia" w:ascii="宋体" w:hAnsi="宋体" w:eastAsia="宋体" w:cs="宋体"/>
          <w:b/>
          <w:bCs/>
          <w:color w:val="000000" w:themeColor="text1"/>
          <w:spacing w:val="5"/>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5"/>
          <w:sz w:val="21"/>
          <w:szCs w:val="21"/>
          <w:highlight w:val="none"/>
          <w:lang w:val="en-US" w:eastAsia="zh-CN" w:bidi="ar-SA"/>
          <w14:textFill>
            <w14:solidFill>
              <w14:schemeClr w14:val="tx1"/>
            </w14:solidFill>
          </w14:textFill>
        </w:rPr>
        <w:t xml:space="preserve">（六）、病案复印：</w:t>
      </w:r>
      <w:r/>
    </w:p>
    <w:p>
      <w:pPr>
        <w:ind w:right="13"/>
        <w:jc w:val="both"/>
        <w:keepLines w:val="0"/>
        <w:keepNext w:val="0"/>
        <w:pageBreakBefore w:val="0"/>
        <w:spacing w:before="72"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电子申请单：支持外接身份证读卡器、社保卡、电子医保码</w:t>
      </w:r>
      <w:r>
        <w:rPr>
          <w:rFonts w:hint="eastAsia" w:ascii="宋体" w:hAnsi="宋体" w:eastAsia="宋体" w:cs="宋体"/>
          <w:color w:val="000000" w:themeColor="text1"/>
          <w:spacing w:val="-7"/>
          <w:sz w:val="21"/>
          <w:szCs w:val="21"/>
          <w:highlight w:val="none"/>
          <w:lang w:val="en-US" w:eastAsia="zh-CN" w:bidi="ar-SA"/>
          <w14:textFill>
            <w14:solidFill>
              <w14:schemeClr w14:val="tx1"/>
            </w14:solidFill>
          </w14:textFill>
        </w:rPr>
        <w:t xml:space="preserve">自动读</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取身份信息，并通过获取的身份信息自动定位患者病案，且能够生成</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具有患者身份证或委托人身份证图片的电子申请单。</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（提供读取二代身份证及留存电子申请单软件功能界面截图并加盖供应商公章（鲜章））</w:t>
      </w:r>
      <w:r/>
    </w:p>
    <w:p>
      <w:pPr>
        <w:ind w:left="101" w:right="11" w:hanging="89"/>
        <w:keepLines w:val="0"/>
        <w:keepNext w:val="0"/>
        <w:pageBreakBefore w:val="0"/>
        <w:spacing w:before="1"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2.多种检索条件：除支持身份证号检索外还支持出入院时间、出入院</w:t>
      </w: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科室、患者姓名等检索条件。</w:t>
      </w:r>
      <w:r/>
    </w:p>
    <w:p>
      <w:pPr>
        <w:keepLines w:val="0"/>
        <w:keepNext w:val="0"/>
        <w:pageBreakBefore w:val="0"/>
        <w:spacing w:before="2"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3.证件拍摄：支持外接高拍仪留存打印申请所需的证明材料，如户口</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簿、出生证明、保险单等。</w:t>
      </w:r>
      <w:r/>
    </w:p>
    <w:p>
      <w:pPr>
        <w:ind w:left="81" w:hanging="69"/>
        <w:keepLines w:val="0"/>
        <w:keepNext w:val="0"/>
        <w:pageBreakBefore w:val="0"/>
        <w:spacing w:before="146"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套餐打印：支持选择打印套餐(套餐种类可自定义，如报销套餐、</w:t>
      </w:r>
      <w:r>
        <w:rPr>
          <w:rFonts w:hint="eastAsia" w:ascii="宋体" w:hAnsi="宋体" w:eastAsia="宋体" w:cs="宋体"/>
          <w:color w:val="000000" w:themeColor="text1"/>
          <w:spacing w:val="18"/>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复诊套餐等),通过套餐系统自动选定涉及的病案分类</w:t>
      </w: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，并支持病案</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一次性打印多份。</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（提供套餐打印软件功能界面截图并加盖供应商公章（鲜章））</w:t>
      </w:r>
      <w:r/>
    </w:p>
    <w:p>
      <w:pPr>
        <w:jc w:val="left"/>
        <w:keepLines w:val="0"/>
        <w:keepNext w:val="0"/>
        <w:pageBreakBefore w:val="0"/>
        <w:spacing w:before="15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3"/>
          <w:sz w:val="21"/>
          <w:szCs w:val="21"/>
          <w:highlight w:val="none"/>
          <w:lang w:val="en-US" w:eastAsia="zh-CN" w:bidi="ar-SA"/>
          <w14:textFill>
            <w14:solidFill>
              <w14:schemeClr w14:val="tx1"/>
            </w14:solidFill>
          </w14:textFill>
        </w:rPr>
        <w:t xml:space="preserve">5.计费规则：支持设置打印费用计算规则如按页、按份、按阶段计费，</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还支持设定调档费，实现打印时自动增加调档费。</w:t>
      </w:r>
      <w:r/>
    </w:p>
    <w:p>
      <w:pPr>
        <w:ind w:left="81" w:right="15" w:hanging="69"/>
        <w:keepLines w:val="0"/>
        <w:keepNext w:val="0"/>
        <w:pageBreakBefore w:val="0"/>
        <w:spacing w:before="142"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pacing w:val="-6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自动计费：系统能根据套餐内容、计费规则自动计算出打印应付金</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额。</w:t>
      </w:r>
      <w:r/>
    </w:p>
    <w:p>
      <w:pPr>
        <w:ind w:left="111" w:right="29" w:hanging="99"/>
        <w:keepLines w:val="0"/>
        <w:keepNext w:val="0"/>
        <w:pageBreakBefore w:val="0"/>
        <w:spacing w:before="164"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打印预警：支持病案打印时涉及封存病</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案、HIV病案、缺失病历</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的预警提示，并可控制未归档病案不允许打印。</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（提供封存病案、HIV病案、缺失病历的预警提示软件功能界面截图并加盖供应商公章（鲜章））</w:t>
      </w:r>
      <w:r/>
    </w:p>
    <w:p>
      <w:pPr>
        <w:keepLines w:val="0"/>
        <w:keepNext w:val="0"/>
        <w:pageBreakBefore w:val="0"/>
        <w:spacing w:line="360" w:lineRule="auto"/>
        <w:widowControl w:val="off"/>
        <w:rPr>
          <w:rFonts w:hint="eastAsia" w:ascii="宋体" w:hAnsi="宋体" w:eastAsia="宋体" w:cs="宋体"/>
          <w:color w:val="000000" w:themeColor="text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OFD格式导出：打印页面支持病案导出</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0FD格式。</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（提供OFD格式软件功能界面截图并加盖供应商公章（鲜章））</w:t>
      </w:r>
      <w:r/>
    </w:p>
    <w:p>
      <w:pPr>
        <w:keepLines w:val="0"/>
        <w:keepNext w:val="0"/>
        <w:pageBreakBefore w:val="0"/>
        <w:spacing w:line="360" w:lineRule="auto"/>
        <w:widowControl w:val="off"/>
        <w:rPr>
          <w:rFonts w:hint="eastAsia" w:ascii="宋体" w:hAnsi="宋体" w:eastAsia="宋体" w:cs="宋体"/>
          <w:b/>
          <w:bCs/>
          <w:color w:val="000000" w:themeColor="text1"/>
          <w:spacing w:val="7"/>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1"/>
          <w:szCs w:val="21"/>
          <w:highlight w:val="none"/>
          <w:lang w:val="en-US" w:eastAsia="zh-CN" w:bidi="ar-SA"/>
          <w14:textFill>
            <w14:solidFill>
              <w14:schemeClr w14:val="tx1"/>
            </w14:solidFill>
          </w14:textFill>
        </w:rPr>
        <w:t xml:space="preserve">（七）、病案应用：</w:t>
      </w:r>
      <w:r/>
    </w:p>
    <w:p>
      <w:pPr>
        <w:keepLines w:val="0"/>
        <w:keepNext w:val="0"/>
        <w:pageBreakBefore w:val="0"/>
        <w:spacing w:before="105"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1.要求病案浏览时具备多条件复合查询功能，实现首页快捷检索，快</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速查找病案信息。</w:t>
      </w:r>
      <w:r/>
    </w:p>
    <w:p>
      <w:pPr>
        <w:keepLines w:val="0"/>
        <w:keepNext w:val="0"/>
        <w:pageBreakBefore w:val="0"/>
        <w:spacing w:before="152"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2.病案在查询浏览时显示病案分类、水印展示、打印次数；</w:t>
      </w: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图片左旋</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转、右旋转、全屏、放大、缩小、防止非法拍摄、屏蔽非法拷贝。</w:t>
      </w:r>
      <w:r/>
    </w:p>
    <w:p>
      <w:pPr>
        <w:ind w:right="30"/>
        <w:keepLines w:val="0"/>
        <w:keepNext w:val="0"/>
        <w:pageBreakBefore w:val="0"/>
        <w:spacing w:before="155"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3.病案对比查看功能：以1.2.4.9宫格式等方式显示；支持图片左旋</w:t>
      </w: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转、右旋转、全屏、放大、缩小等操作。</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支持病案保密：设置病案保密级别，至少(不保密，S,</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SS</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SSS</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不同权限的管理员查不同级别并支持向下兼容。</w:t>
      </w:r>
      <w:r>
        <w:rPr>
          <w:rFonts w:hint="eastAsia" w:ascii="宋体" w:hAnsi="宋体" w:eastAsia="宋体" w:cs="宋体"/>
          <w:color w:val="000000" w:themeColor="text1"/>
          <w:szCs w:val="24"/>
          <w:lang w:val="en-US" w:eastAsia="zh-CN" w:bidi="ar-SA"/>
          <w14:textFill>
            <w14:solidFill>
              <w14:schemeClr w14:val="tx1"/>
            </w14:solidFill>
          </w14:textFill>
        </w:rPr>
        <w:t xml:space="preserve">（提供国家涉密信息系统集成资质证书或相关涉密产品资质证书与软件功能界面截图并加盖供应商公章（鲜章））。</w:t>
      </w:r>
      <w:r/>
    </w:p>
    <w:p>
      <w:pPr>
        <w:ind w:left="111" w:hanging="99"/>
        <w:keepLines w:val="0"/>
        <w:keepNext w:val="0"/>
        <w:pageBreakBefore w:val="0"/>
        <w:spacing w:before="122"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5.病案借阅申请：用户申请无权限浏览的病案及审核机制，支持多级</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审核，具有浏览到期自动收回的功能。</w:t>
      </w:r>
      <w:r/>
    </w:p>
    <w:p>
      <w:pPr>
        <w:ind w:left="12"/>
        <w:keepLines w:val="0"/>
        <w:keepNext w:val="0"/>
        <w:pageBreakBefore w:val="0"/>
        <w:spacing w:before="171"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6.支持线上讨论和图片标注：病案浏览时提供线上讨论模块，记录标题及讨论内容，还可在图片讨论的地方进行标注，讨论的内容自动</w:t>
      </w: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生成病案报告反馈记录，并可跟踪病案反馈处理状态。</w:t>
      </w:r>
      <w:r/>
    </w:p>
    <w:p>
      <w:pPr>
        <w:numPr>
          <w:ilvl w:val="0"/>
          <w:numId w:val="0"/>
        </w:num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pacing w:val="-9"/>
          <w:sz w:val="21"/>
          <w:szCs w:val="21"/>
          <w:highlight w:val="none"/>
          <w:lang w:val="en-US" w:eastAsia="zh-CN" w:bidi="ar-SA"/>
          <w14:textFill>
            <w14:solidFill>
              <w14:schemeClr w14:val="tx1"/>
            </w14:solidFill>
          </w14:textFill>
        </w:rPr>
        <w:t xml:space="preserve">支持原件借阅和审核归还：提交借阅申请、选择病案、填写借阅天</w:t>
      </w: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数、借阅理由；查看借阅流程详情含(病案、装箱、申请</w:t>
      </w:r>
      <w:r>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、审核、归</w:t>
      </w: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还);审核借阅申请单并给出审核意见；归还登记归还人及备注说明；</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(提供软件功能界面截图并加盖供应商公章（鲜章））</w:t>
      </w:r>
      <w:r/>
    </w:p>
    <w:p>
      <w:pPr>
        <w:keepLines w:val="0"/>
        <w:keepNext w:val="0"/>
        <w:pageBreakBefore w:val="0"/>
        <w:spacing w:before="195"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2"/>
          <w:sz w:val="21"/>
          <w:szCs w:val="21"/>
          <w:highlight w:val="none"/>
          <w:lang w:val="en-US" w:eastAsia="zh-CN" w:bidi="ar-SA"/>
          <w14:textFill>
            <w14:solidFill>
              <w14:schemeClr w14:val="tx1"/>
            </w14:solidFill>
          </w14:textFill>
        </w:rPr>
        <w:t xml:space="preserve">8.病案封存：封存管理支持线上封存、解封申请、审核操</w:t>
      </w:r>
      <w:r>
        <w:rPr>
          <w:rFonts w:hint="eastAsia" w:ascii="宋体" w:hAnsi="宋体" w:eastAsia="宋体" w:cs="宋体"/>
          <w:color w:val="000000" w:themeColor="text1"/>
          <w:spacing w:val="-13"/>
          <w:sz w:val="21"/>
          <w:szCs w:val="21"/>
          <w:highlight w:val="none"/>
          <w:lang w:val="en-US" w:eastAsia="zh-CN" w:bidi="ar-SA"/>
          <w14:textFill>
            <w14:solidFill>
              <w14:schemeClr w14:val="tx1"/>
            </w14:solidFill>
          </w14:textFill>
        </w:rPr>
        <w:t xml:space="preserve">作、封存、</w:t>
      </w:r>
      <w:r>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解封申请时支持拍摄相关附件。</w:t>
      </w:r>
      <w:r/>
    </w:p>
    <w:p>
      <w:pPr>
        <w:keepLines w:val="0"/>
        <w:keepNext w:val="0"/>
        <w:pageBreakBefore w:val="0"/>
        <w:spacing w:before="13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9.病案科研：能够支持病案图片的病案科研</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、在线讨论。</w:t>
      </w:r>
      <w:r/>
    </w:p>
    <w:p>
      <w:pPr>
        <w:ind w:right="146"/>
        <w:keepLines w:val="0"/>
        <w:keepNext w:val="0"/>
        <w:pageBreakBefore w:val="0"/>
        <w:spacing w:before="19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URL</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病案查阅申请：支持</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URL</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病案查询申请借阅</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，助力电子病历 </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等级评审。</w:t>
      </w:r>
      <w:r/>
    </w:p>
    <w:p>
      <w:pPr>
        <w:keepLines w:val="0"/>
        <w:keepNext w:val="0"/>
        <w:pageBreakBefore w:val="0"/>
        <w:spacing w:line="360" w:lineRule="auto"/>
        <w:widowControl w:val="off"/>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11.病案收藏：病案图片浏览时支持图片收藏，收藏内容可在我的收</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藏页面查看。</w:t>
      </w:r>
      <w:r/>
    </w:p>
    <w:p>
      <w:pPr>
        <w:numPr>
          <w:ilvl w:val="0"/>
          <w:numId w:val="0"/>
        </w:num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12.</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应支持C/S、B/S同步浏览病案。（投标人提供《数字化病案管理软件》通过CNAS或CMA认可的检测检验第三方机构出具数字化病案系统软件测试报告和软件功能截图并加盖公章（鲜章））。</w:t>
      </w:r>
      <w:r/>
    </w:p>
    <w:p>
      <w:pPr>
        <w:numPr>
          <w:ilvl w:val="0"/>
          <w:numId w:val="0"/>
        </w:numPr>
        <w:ind w:right="210"/>
        <w:jc w:val="both"/>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▲根据国家对死亡病历和非医嘱病历上报要求应支持与导出的费用清单批量合并，按照分类，自动上报。（提供软件功能界面截图并加盖供应商公章（鲜章））。</w:t>
      </w:r>
      <w:r/>
    </w:p>
    <w:p>
      <w:pPr>
        <w:keepLines w:val="0"/>
        <w:keepNext w:val="0"/>
        <w:pageBreakBefore w:val="0"/>
        <w:spacing w:line="360" w:lineRule="auto"/>
        <w:widowControl w:val="off"/>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t xml:space="preserve">（八）、报表统计：</w:t>
      </w:r>
      <w:r/>
    </w:p>
    <w:p>
      <w:pPr>
        <w:jc w:val="left"/>
        <w:keepLines w:val="0"/>
        <w:keepNext w:val="0"/>
        <w:pageBreakBefore w:val="0"/>
        <w:spacing w:before="87"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1.复印统计：支持按照复印时间区间统计收费明细情况、复印工作量</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情况、复印用途统计。</w:t>
      </w:r>
      <w:r/>
    </w:p>
    <w:p>
      <w:pPr>
        <w:ind w:left="111" w:hanging="99"/>
        <w:keepLines w:val="0"/>
        <w:keepNext w:val="0"/>
        <w:pageBreakBefore w:val="0"/>
        <w:spacing w:before="141"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2.工作量统计：系统提供多种工作量统计报表如扫描工作量、审核工</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作量、图片审核工作量报表。</w:t>
      </w:r>
      <w:r/>
    </w:p>
    <w:p>
      <w:pPr>
        <w:keepLines w:val="0"/>
        <w:keepNext w:val="0"/>
        <w:pageBreakBefore w:val="0"/>
        <w:spacing w:line="360" w:lineRule="auto"/>
        <w:widowControl w:val="off"/>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3.特殊病案查询：补拍统计、返修历史查询。</w:t>
      </w:r>
      <w:r/>
    </w:p>
    <w:p>
      <w:pPr>
        <w:keepLines w:val="0"/>
        <w:keepNext w:val="0"/>
        <w:pageBreakBefore w:val="0"/>
        <w:spacing w:line="360" w:lineRule="auto"/>
        <w:widowControl w:val="off"/>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t xml:space="preserve">（九）、系统设置：</w:t>
      </w:r>
      <w:r/>
    </w:p>
    <w:p>
      <w:pPr>
        <w:numPr>
          <w:ilvl w:val="0"/>
          <w:numId w:val="11"/>
        </w:numPr>
        <w:keepLines w:val="0"/>
        <w:keepNext w:val="0"/>
        <w:pageBreakBefore w:val="0"/>
        <w:spacing w:line="360" w:lineRule="auto"/>
        <w:widowControl w:val="off"/>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对加工模块参数进行配置，包括病案存储路径、扫描/拍摄图片质</w:t>
      </w: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量、分类及上下限校验、装箱上下限值、病案保密等级设置等参数。</w:t>
      </w:r>
      <w:r/>
    </w:p>
    <w:p>
      <w:pPr>
        <w:ind w:right="9"/>
        <w:keepLines w:val="0"/>
        <w:keepNext w:val="0"/>
        <w:pageBreakBefore w:val="0"/>
        <w:spacing w:before="94"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2.支持病历打印参数配置，如：复印收费模式、病历打印边距、水印</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内容等。</w:t>
      </w:r>
      <w:r/>
    </w:p>
    <w:p>
      <w:pPr>
        <w:ind w:right="17"/>
        <w:keepLines w:val="0"/>
        <w:keepNext w:val="0"/>
        <w:pageBreakBefore w:val="0"/>
        <w:spacing w:before="151"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3.组织架构参数配置，包括角色与权限管理、用户管理、密码安全管</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理及系统IP黑名单等。</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4.支持个性化参数配置，如医院LOGO、医学分类</w:t>
      </w: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设置、列表字段别名</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配置等。</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t xml:space="preserve">（十）、可信管理：</w:t>
      </w:r>
      <w:r/>
    </w:p>
    <w:p>
      <w:pPr>
        <w:numPr>
          <w:ilvl w:val="0"/>
          <w:numId w:val="12"/>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电子签章：支持已被审核通过的数字化病案，可以与CA对接实现电子签章。</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t xml:space="preserve">（十一）、安全处理：</w:t>
      </w:r>
      <w:r/>
    </w:p>
    <w:p>
      <w:pPr>
        <w:ind w:right="20"/>
        <w:keepLines w:val="0"/>
        <w:keepNext w:val="0"/>
        <w:pageBreakBefore w:val="0"/>
        <w:spacing w:before="111"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1.加密存储：对服务器上的文件进行加密存储，从后台</w:t>
      </w: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不能直接打开</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文件。</w:t>
      </w:r>
      <w:r/>
    </w:p>
    <w:p>
      <w:pPr>
        <w:ind w:right="21"/>
        <w:keepLines w:val="0"/>
        <w:keepNext w:val="0"/>
        <w:pageBreakBefore w:val="0"/>
        <w:spacing w:before="16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2.水印功能：对病案浏览、借阅具备自动添加水印的功</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能(水印形式</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为登录工号、时间、IP地址，也可以自定义设置格式)。</w:t>
      </w:r>
      <w:r/>
    </w:p>
    <w:p>
      <w:pPr>
        <w:keepLines w:val="0"/>
        <w:keepNext w:val="0"/>
        <w:pageBreakBefore w:val="0"/>
        <w:spacing w:before="152"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2"/>
          <w:sz w:val="21"/>
          <w:szCs w:val="21"/>
          <w:highlight w:val="none"/>
          <w:lang w:val="en-US" w:eastAsia="zh-CN" w:bidi="ar-SA"/>
          <w14:textFill>
            <w14:solidFill>
              <w14:schemeClr w14:val="tx1"/>
            </w14:solidFill>
          </w14:textFill>
        </w:rPr>
        <w:t xml:space="preserve">3.动态可追踪：系统对病案的关键操作留有痕迹，监控</w:t>
      </w:r>
      <w:r>
        <w:rPr>
          <w:rFonts w:hint="eastAsia" w:ascii="宋体" w:hAnsi="宋体" w:eastAsia="宋体" w:cs="宋体"/>
          <w:color w:val="000000" w:themeColor="text1"/>
          <w:spacing w:val="-13"/>
          <w:sz w:val="21"/>
          <w:szCs w:val="21"/>
          <w:highlight w:val="none"/>
          <w:lang w:val="en-US" w:eastAsia="zh-CN" w:bidi="ar-SA"/>
          <w14:textFill>
            <w14:solidFill>
              <w14:schemeClr w14:val="tx1"/>
            </w14:solidFill>
          </w14:textFill>
        </w:rPr>
        <w:t xml:space="preserve">病案流通过程，</w:t>
      </w: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通过时间轴把操作记录可视化。</w:t>
      </w:r>
      <w:r/>
    </w:p>
    <w:p>
      <w:pPr>
        <w:keepLines w:val="0"/>
        <w:keepNext w:val="0"/>
        <w:pageBreakBefore w:val="0"/>
        <w:spacing w:before="173"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4.权限控制：用户都有严格的数据权限控制，只能使用或查看属于自</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己权限科室的数据。</w:t>
      </w:r>
      <w:r/>
    </w:p>
    <w:p>
      <w:pPr>
        <w:keepLines w:val="0"/>
        <w:keepNext w:val="0"/>
        <w:pageBreakBefore w:val="0"/>
        <w:spacing w:before="175"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5.密码强度管理：系统支持强密码设置，验证用户的密码复杂度。</w:t>
      </w:r>
      <w:r/>
    </w:p>
    <w:p>
      <w:pPr>
        <w:ind w:right="22"/>
        <w:keepLines w:val="0"/>
        <w:keepNext w:val="0"/>
        <w:pageBreakBefore w:val="0"/>
        <w:spacing w:before="154"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6.保密等级管理：对指定病案可设置保密等级，低保密等级用户无法</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查看高保密等级病案。</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7.单点登录：支持医院内部用户的注册及登录对</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接医院单点登录系 统，实现统一管理，减少医生使用的麻烦。</w:t>
      </w:r>
      <w:r/>
    </w:p>
    <w:p>
      <w:pPr>
        <w:ind w:left="120"/>
        <w:keepLines w:val="0"/>
        <w:keepNext w:val="0"/>
        <w:pageBreakBefore w:val="0"/>
        <w:spacing w:before="82"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
          <w:sz w:val="21"/>
          <w:szCs w:val="21"/>
          <w:highlight w:val="none"/>
          <w:lang w:val="en-US" w:eastAsia="zh-CN" w:bidi="ar-SA"/>
          <w14:textFill>
            <w14:solidFill>
              <w14:schemeClr w14:val="tx1"/>
            </w14:solidFill>
          </w14:textFill>
        </w:rPr>
        <w:t xml:space="preserve">（十二）、存储和数</w:t>
      </w:r>
      <w:r>
        <w:rPr>
          <w:rFonts w:hint="eastAsia" w:ascii="宋体" w:hAnsi="宋体" w:eastAsia="宋体" w:cs="宋体"/>
          <w:b/>
          <w:bCs/>
          <w:color w:val="000000" w:themeColor="text1"/>
          <w:spacing w:val="4"/>
          <w:sz w:val="21"/>
          <w:szCs w:val="21"/>
          <w:highlight w:val="none"/>
          <w:lang w:val="en-US" w:eastAsia="zh-CN" w:bidi="ar-SA"/>
          <w14:textFill>
            <w14:solidFill>
              <w14:schemeClr w14:val="tx1"/>
            </w14:solidFill>
          </w14:textFill>
        </w:rPr>
        <w:t xml:space="preserve">据备份功</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能：</w:t>
      </w:r>
      <w:r/>
    </w:p>
    <w:p>
      <w:pPr>
        <w:ind w:right="21"/>
        <w:keepLines w:val="0"/>
        <w:keepNext w:val="0"/>
        <w:pageBreakBefore w:val="0"/>
        <w:spacing w:before="116"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1.存储叠加：支持服务器的叠加，通过配置服务器所</w:t>
      </w: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在路径，满足服</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务器空间追加的需要。</w:t>
      </w:r>
      <w:r/>
    </w:p>
    <w:p>
      <w:pPr>
        <w:jc w:val="left"/>
        <w:keepLines w:val="0"/>
        <w:keepNext w:val="0"/>
        <w:pageBreakBefore w:val="0"/>
        <w:spacing w:before="141"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2"/>
          <w:sz w:val="21"/>
          <w:szCs w:val="21"/>
          <w:highlight w:val="none"/>
          <w:lang w:val="en-US" w:eastAsia="zh-CN" w:bidi="ar-SA"/>
          <w14:textFill>
            <w14:solidFill>
              <w14:schemeClr w14:val="tx1"/>
            </w14:solidFill>
          </w14:textFill>
        </w:rPr>
        <w:t xml:space="preserve">2.独立备份：支持完善的数据备份机制，支持增量备份以及数据转储。</w:t>
      </w:r>
      <w:r/>
    </w:p>
    <w:p>
      <w:pPr>
        <w:keepLines w:val="0"/>
        <w:keepNext w:val="0"/>
        <w:pageBreakBefore w:val="0"/>
        <w:spacing w:before="82" w:line="360" w:lineRule="auto"/>
        <w:widowControl w:val="off"/>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3.结构清晰：要求文件服务器存储结构清晰，使用子目录存储规范，</w:t>
      </w: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一旦数据库出现故障，可以从后台快捷查找患者的加密文档。</w:t>
      </w:r>
      <w:r/>
    </w:p>
    <w:p>
      <w:pPr>
        <w:ind w:left="120"/>
        <w:keepLines w:val="0"/>
        <w:keepNext w:val="0"/>
        <w:pageBreakBefore w:val="0"/>
        <w:spacing w:before="82" w:line="360" w:lineRule="auto"/>
        <w:widowControl w:val="off"/>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7"/>
          <w:sz w:val="21"/>
          <w:szCs w:val="21"/>
          <w:highlight w:val="none"/>
          <w:lang w:val="en-US" w:eastAsia="zh-CN" w:bidi="ar-SA"/>
          <w14:textFill>
            <w14:solidFill>
              <w14:schemeClr w14:val="tx1"/>
            </w14:solidFill>
          </w14:textFill>
        </w:rPr>
        <w:t xml:space="preserve">（十三）、集成应用：</w:t>
      </w:r>
      <w:r>
        <w:rPr>
          <w:rFonts w:hint="eastAsia" w:ascii="宋体" w:hAnsi="宋体" w:eastAsia="宋体" w:cs="宋体"/>
          <w:b/>
          <w:color w:val="000000" w:themeColor="text1"/>
          <w:szCs w:val="21"/>
          <w:highlight w:val="none"/>
          <w14:textFill>
            <w14:solidFill>
              <w14:schemeClr w14:val="tx1"/>
            </w14:solidFill>
          </w14:textFill>
        </w:rPr>
        <w:t xml:space="preserve">（带</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须提供相应</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需提供承诺函</w:t>
      </w:r>
      <w:r>
        <w:rPr>
          <w:rFonts w:hint="eastAsia" w:ascii="宋体" w:hAnsi="宋体" w:eastAsia="宋体" w:cs="宋体"/>
          <w:b/>
          <w:color w:val="000000" w:themeColor="text1"/>
          <w:szCs w:val="21"/>
          <w:highlight w:val="none"/>
          <w14:textFill>
            <w14:solidFill>
              <w14:schemeClr w14:val="tx1"/>
            </w14:solidFill>
          </w14:textFill>
        </w:rPr>
        <w:t xml:space="preserve">；否则视为无效投标）</w:t>
      </w:r>
      <w:r/>
    </w:p>
    <w:p>
      <w:pPr>
        <w:ind w:right="20"/>
        <w:keepLines w:val="0"/>
        <w:keepNext w:val="0"/>
        <w:pageBreakBefore w:val="0"/>
        <w:spacing w:before="10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1.互联互通：支持业务系统集成数字化应用所需的标准链接及安全验</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证，能够实现系统间的互联互通。</w:t>
      </w:r>
      <w:r/>
    </w:p>
    <w:p>
      <w:pPr>
        <w:keepLines w:val="0"/>
        <w:keepNext w:val="0"/>
        <w:pageBreakBefore w:val="0"/>
        <w:spacing w:before="82" w:line="360" w:lineRule="auto"/>
        <w:widowControl w:val="off"/>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2.外部链接：支持数字化病案查询、借阅页面等外部链接供医生站、</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护士站、医务等系统做集成。</w:t>
      </w:r>
      <w:r/>
    </w:p>
    <w:p>
      <w:pPr>
        <w:numPr>
          <w:ilvl w:val="0"/>
          <w:numId w:val="0"/>
        </w:numPr>
        <w:ind w:right="0"/>
        <w:jc w:val="both"/>
        <w:keepLines w:val="0"/>
        <w:keepNext w:val="0"/>
        <w:pageBreakBefore w:val="0"/>
        <w:spacing w:line="360" w:lineRule="auto"/>
        <w:widowControl w:val="off"/>
        <w:rPr>
          <w:rFonts w:hint="eastAsia" w:ascii="宋体" w:hAnsi="宋体" w:eastAsia="宋体" w:cs="宋体"/>
          <w:color w:val="000000" w:themeColor="text1"/>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Cs w:val="24"/>
          <w:highlight w:val="none"/>
          <w:lang w:val="en-US" w:eastAsia="zh-CN" w:bidi="ar-SA"/>
          <w14:textFill>
            <w14:solidFill>
              <w14:schemeClr w14:val="tx1"/>
            </w14:solidFill>
          </w14:textFill>
        </w:rPr>
        <w:t xml:space="preserve">本次项目的病案扫描需要与现有的系统实现系统数据共享，互联互通，所有涉及系统对接接口由甲方免费对中标单位开放，不涉及到接口的费用。</w:t>
      </w:r>
      <w:r/>
    </w:p>
    <w:p>
      <w:pPr>
        <w:rPr>
          <w:rFonts w:hint="eastAsia" w:ascii="宋体" w:hAnsi="宋体" w:eastAsia="宋体" w:cs="宋体"/>
          <w:b/>
          <w:bCs/>
          <w:color w:val="000000" w:themeColor="text1"/>
          <w:spacing w:val="7"/>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36"/>
          <w:szCs w:val="36"/>
          <w:highlight w:val="none"/>
          <w:lang w:val="en-US" w:eastAsia="zh-CN" w:bidi="ar-SA"/>
          <w14:textFill>
            <w14:solidFill>
              <w14:schemeClr w14:val="tx1"/>
            </w14:solidFill>
          </w14:textFill>
        </w:rPr>
        <w:t xml:space="preserve"> </w:t>
      </w:r>
      <w:r>
        <w:rPr>
          <w:rFonts w:hint="eastAsia" w:ascii="宋体" w:hAnsi="宋体" w:eastAsia="宋体" w:cs="宋体"/>
          <w:b/>
          <w:bCs/>
          <w:color w:val="000000" w:themeColor="text1"/>
          <w:spacing w:val="7"/>
          <w:sz w:val="21"/>
          <w:szCs w:val="21"/>
          <w:highlight w:val="none"/>
          <w:lang w:val="en-US" w:eastAsia="zh-CN" w:bidi="ar-SA"/>
          <w14:textFill>
            <w14:solidFill>
              <w14:schemeClr w14:val="tx1"/>
            </w14:solidFill>
          </w14:textFill>
        </w:rPr>
        <w:t xml:space="preserve">（十四）其他服务要求</w:t>
      </w:r>
      <w:r/>
    </w:p>
    <w:tbl>
      <w:tblPr>
        <w:tblStyle w:val="8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6975"/>
      </w:tblGrid>
      <w:tr>
        <w:trPr/>
        <w:tc>
          <w:tcPr>
            <w:tcW w:w="1547" w:type="dxa"/>
            <w:vAlign w:val="center"/>
            <w:textDirection w:val="lrTb"/>
            <w:noWrap w:val="false"/>
          </w:tcPr>
          <w:p>
            <w:pPr>
              <w:jc w:val="center"/>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序号</w:t>
            </w:r>
            <w:r/>
          </w:p>
        </w:tc>
        <w:tc>
          <w:tcPr>
            <w:tcW w:w="6975" w:type="dxa"/>
            <w:vAlign w:val="center"/>
            <w:textDirection w:val="lrTb"/>
            <w:noWrap w:val="false"/>
          </w:tcPr>
          <w:p>
            <w:pPr>
              <w:jc w:val="center"/>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要求</w:t>
            </w:r>
            <w:r/>
          </w:p>
        </w:tc>
      </w:tr>
      <w:tr>
        <w:trPr/>
        <w:tc>
          <w:tcPr>
            <w:tcW w:w="1547" w:type="dxa"/>
            <w:vAlign w:val="center"/>
            <w:textDirection w:val="lrTb"/>
            <w:noWrap w:val="false"/>
          </w:tcPr>
          <w:p>
            <w:pPr>
              <w:jc w:val="center"/>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1</w:t>
            </w:r>
            <w:r/>
          </w:p>
        </w:tc>
        <w:tc>
          <w:tcPr>
            <w:tcW w:w="6975" w:type="dxa"/>
            <w:vAlign w:val="center"/>
            <w:textDirection w:val="lrTb"/>
            <w:noWrap w:val="false"/>
          </w:tcPr>
          <w:p>
            <w:pPr>
              <w:jc w:val="left"/>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根据医院需求调整加工服务进度。</w:t>
            </w:r>
            <w:r/>
          </w:p>
        </w:tc>
      </w:tr>
      <w:tr>
        <w:trPr/>
        <w:tc>
          <w:tcPr>
            <w:tcW w:w="1547" w:type="dxa"/>
            <w:vAlign w:val="center"/>
            <w:textDirection w:val="lrTb"/>
            <w:noWrap w:val="false"/>
          </w:tcPr>
          <w:p>
            <w:pPr>
              <w:jc w:val="center"/>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2</w:t>
            </w:r>
            <w:r/>
          </w:p>
        </w:tc>
        <w:tc>
          <w:tcPr>
            <w:tcW w:w="6975" w:type="dxa"/>
            <w:vAlign w:val="center"/>
            <w:textDirection w:val="lrTb"/>
            <w:noWrap w:val="false"/>
          </w:tcPr>
          <w:p>
            <w:pPr>
              <w:jc w:val="left"/>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必须有严格的质量控制措施，保证图像质量。图像须清晰、不失真、完整、不影响图像的利用效果，倾斜度达到视觉上基本不感觉偏斜为准，不允许有折叠或缺损。</w:t>
            </w:r>
            <w:r/>
          </w:p>
        </w:tc>
      </w:tr>
      <w:tr>
        <w:trPr/>
        <w:tc>
          <w:tcPr>
            <w:tcW w:w="1547" w:type="dxa"/>
            <w:vAlign w:val="center"/>
            <w:textDirection w:val="lrTb"/>
            <w:noWrap w:val="false"/>
          </w:tcPr>
          <w:p>
            <w:pPr>
              <w:jc w:val="center"/>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3</w:t>
            </w:r>
            <w:r/>
          </w:p>
        </w:tc>
        <w:tc>
          <w:tcPr>
            <w:tcW w:w="697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制作场地、人员及设备要求：本项目安排在采购人指定场地进行。成交供应商需负责录入病案基本信息、病案图片扫描、原始病案交接、装订、打包、装箱、上架工作，相关耗材由投标人提供。项目制作人员及设备（除服务器、办公场地外）由成交供应商提供。制作人员须与采购人病案室工作人员紧密协作，共同完成病案管理流程编制。</w:t>
            </w:r>
            <w:r/>
          </w:p>
        </w:tc>
      </w:tr>
      <w:tr>
        <w:trPr/>
        <w:tc>
          <w:tcPr>
            <w:tcW w:w="1547" w:type="dxa"/>
            <w:vAlign w:val="center"/>
            <w:textDirection w:val="lrTb"/>
            <w:noWrap w:val="false"/>
          </w:tcPr>
          <w:p>
            <w:pPr>
              <w:jc w:val="center"/>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4</w:t>
            </w:r>
            <w:r/>
          </w:p>
        </w:tc>
        <w:tc>
          <w:tcPr>
            <w:tcW w:w="6975" w:type="dxa"/>
            <w:vAlign w:val="center"/>
            <w:textDirection w:val="lrTb"/>
            <w:noWrap w:val="false"/>
          </w:tcPr>
          <w:p>
            <w:pPr>
              <w:jc w:val="left"/>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成交供应商必须对采购人数据保密，不得将采购人数据内容泄露给第三方，否则，采购人将通过法律手段追究供应商的泄密责任（提供保密承诺函并加盖供应商公章）。</w:t>
            </w:r>
            <w:r/>
          </w:p>
        </w:tc>
      </w:tr>
      <w:tr>
        <w:trPr/>
        <w:tc>
          <w:tcPr>
            <w:tcW w:w="1547" w:type="dxa"/>
            <w:vAlign w:val="center"/>
            <w:textDirection w:val="lrTb"/>
            <w:noWrap w:val="false"/>
          </w:tcPr>
          <w:p>
            <w:pPr>
              <w:jc w:val="center"/>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5</w:t>
            </w:r>
            <w:r/>
          </w:p>
        </w:tc>
        <w:tc>
          <w:tcPr>
            <w:tcW w:w="697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本项目成果的所有权归属采购人，在项目结束时都必须完整移交。</w:t>
            </w:r>
            <w:r/>
          </w:p>
        </w:tc>
      </w:tr>
      <w:tr>
        <w:trPr/>
        <w:tc>
          <w:tcPr>
            <w:tcW w:w="1547" w:type="dxa"/>
            <w:vAlign w:val="center"/>
            <w:textDirection w:val="lrTb"/>
            <w:noWrap w:val="false"/>
          </w:tcPr>
          <w:p>
            <w:pPr>
              <w:jc w:val="center"/>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6</w:t>
            </w:r>
            <w:r/>
          </w:p>
        </w:tc>
        <w:tc>
          <w:tcPr>
            <w:tcW w:w="697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成交供应商负责对采购人病案管理人员进行病案数字化相关的业务培训；保证项目终止前，采购人相关人员熟练掌握该项技能。</w:t>
            </w:r>
            <w:r/>
          </w:p>
        </w:tc>
      </w:tr>
    </w:tbl>
    <w:p>
      <w:pP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br w:type="page" w:clear="all"/>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jc w:val="center"/>
        <w:keepLines/>
        <w:keepNext/>
        <w:spacing w:before="0" w:after="0" w:line="360" w:lineRule="auto"/>
        <w:widowControl w:val="off"/>
        <w:rPr>
          <w:rFonts w:hint="eastAsia" w:ascii="宋体" w:hAnsi="宋体" w:eastAsia="宋体" w:cs="宋体"/>
          <w:b/>
          <w:color w:val="000000" w:themeColor="text1"/>
          <w:sz w:val="32"/>
          <w:szCs w:val="32"/>
          <w:highlight w:val="none"/>
          <w:lang w:val="en-US" w:eastAsia="zh-CN"/>
          <w14:textFill>
            <w14:solidFill>
              <w14:schemeClr w14:val="tx1"/>
            </w14:solidFill>
          </w14:textFill>
        </w:rPr>
        <w:outlineLvl w:val="0"/>
      </w:pPr>
      <w:r/>
      <w:bookmarkStart w:id="52" w:name="_Toc206069732"/>
      <w:r/>
      <w:bookmarkStart w:id="53" w:name="_Toc206069700"/>
      <w:r/>
      <w:bookmarkStart w:id="54" w:name="_Toc21326"/>
      <w:r>
        <w:rPr>
          <w:rFonts w:hint="eastAsia" w:ascii="宋体" w:hAnsi="宋体" w:eastAsia="宋体" w:cs="宋体"/>
          <w:b/>
          <w:color w:val="000000" w:themeColor="text1"/>
          <w:sz w:val="32"/>
          <w:szCs w:val="32"/>
          <w:highlight w:val="none"/>
          <w14:textFill>
            <w14:solidFill>
              <w14:schemeClr w14:val="tx1"/>
            </w14:solidFill>
          </w14:textFill>
        </w:rPr>
        <w:t xml:space="preserve">第五章 合同主要条款</w:t>
      </w:r>
      <w:bookmarkEnd w:id="52"/>
      <w:r/>
      <w:bookmarkEnd w:id="53"/>
      <w:r/>
      <w:bookmarkEnd w:id="54"/>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地址：</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地址：</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项目依据采购结果，决定将采购合同授予乙方。为进一步明确采购人（甲方）和供应商（乙方）采购过程中的权利、义务和经济责任，根据《中华人民共和国民法典》《中华人民共和国政府采购法》《中华人民共和国政府采购法实施条例》之规定及本项目采购文件、乙方的投标文件等相关资料，经甲乙双方充分协商，遵循平等、自愿、公平和诚实信用原则，特订立本合同，以资共同遵守。</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第一条 合同文件</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下列与本次采购活动有关的文件及附件是本合同不可分割的组成部分，与本合同具有同等法律效力，这些文件包括但不限于：</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1.采购文件及相关函件</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2.乙方的投标文件</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3.乙方在采购活动中的书面承诺及澄清</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4.中标通知书</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5.合同补充条款</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6.相关附件、图纸及电子版资料</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第二条 合同标的</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1.项目名称：</w:t>
      </w:r>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昆山市中医医院数字化病案扫描项目</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JSZC-320583-HTJS-T2026-0002</w:t>
      </w:r>
      <w:r>
        <w:rPr>
          <w:rFonts w:hint="eastAsia" w:ascii="宋体" w:hAnsi="宋体" w:eastAsia="宋体" w:cs="宋体"/>
          <w:color w:val="000000" w:themeColor="text1"/>
          <w:szCs w:val="21"/>
          <w:highlight w:val="none"/>
          <w:u w:val="singl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3.合同履行期限：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1年</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4.质保期：</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服务标准：详见采购文件中采购需求。除此以外，乙方所提供的服务的质量标准按照国家标准、行业标准和企业标准确定，上述标准不一致的，以严格的标准为准。没有国家标准、行业标准和企业标准的，按照通常标准或者符合合同目的的特定标准确定。</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6.人员配置</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详见采购文件需求及投标文件。</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7.采购内容：</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昆山市中医医院数字化病案扫描项目</w:t>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第三条 合同总价款</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合同总价款：人民币</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元整，¥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合同总价款按此次中标价格执行，包括完成本合同的全部内容所需的费用、政策性文件规定及合同包含的所有风险、责任等各项应有费用。</w:t>
      </w:r>
      <w:r/>
    </w:p>
    <w:p>
      <w:pPr>
        <w:ind w:firstLine="432"/>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于甲方在采购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第四条 付款方式</w:t>
      </w:r>
      <w:r/>
    </w:p>
    <w:p>
      <w:pPr>
        <w:numPr>
          <w:ilvl w:val="0"/>
          <w:numId w:val="0"/>
        </w:numPr>
        <w:contextualSpacing/>
        <w:ind w:left="400"/>
        <w:jc w:val="left"/>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合同签订后</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病案数字化翻拍制作按照每季度结束后结算一次费用，具体结算费用按照实际加工页数为准，等于实际加工页数乘以单价。</w:t>
      </w:r>
      <w:r/>
    </w:p>
    <w:p>
      <w:pPr>
        <w:ind w:firstLine="432"/>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第五条 考核办法（如有）</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甲方按照本项目采购文件中的考核办法对乙方进行考核。</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第六条 权利和义务</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（一）甲方的权利和义务：</w:t>
      </w:r>
      <w:r/>
    </w:p>
    <w:p>
      <w:pPr>
        <w:ind w:firstLine="420"/>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2.应尊重乙方的劳动成果，积极配合乙方工作人员履行好合同所规定的职责和义务。</w:t>
      </w:r>
      <w:r/>
    </w:p>
    <w:p>
      <w:pPr>
        <w:ind w:firstLine="420"/>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3.按照合同的约定，及时考核乙方的履约工作，并按照考核结果及时支付合同价款。</w:t>
      </w:r>
      <w:r/>
    </w:p>
    <w:p>
      <w:pPr>
        <w:ind w:firstLine="420"/>
        <w:jc w:val="left"/>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（二）乙方的权利和义务：</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1.建立各类管理规章制度和工作计划等管理档案资料，按照采购文件及中标的投标文件的内容认真履约，定期向甲方书面报告履约情况。</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2.接受并积极配合甲方组织考核、满意度调查等工作，并按甲方提出的意见及时进行整改。</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3.不得向履约无关的其他人透露采购项目的信息，应指定专人负责本项目管理、协调工作。</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4.乙方保证所提供的服务不会侵犯任何第三方的知识产权和商业秘密。一旦出现侵权、索赔或诉讼，乙方应承担全部责任。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7.如采购标的涉及包装的，投标人须按《商品包装政府采购需求标准（试行）》《快递包装政府采购需求标准（试行）〉》（财办库〔2020〕123号）执行。</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第七条 违约责任及合同终止</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甲方应予以赔偿。</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第八条 分包</w:t>
      </w:r>
      <w:r/>
    </w:p>
    <w:p>
      <w:pPr>
        <w:ind w:firstLine="42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除甲方同意，本项目内容不允许分包。</w:t>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第九条 不可抗力</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第十条 争端的解决</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2.调解不成，双方中的任何一方可向甲方所在地的人民法院提起诉讼。</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3.诉讼费、律师费由败诉方负担。</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4.因合同部分履行引发诉讼的，在诉讼期间，除正在进行诉讼的部分外，本合同的其它部分应继续执行。</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第十一条 合同生效</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1.双方签约人为各自法定代表人或被授权代表，签字并加盖公章后生效。</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2.本合同壹式贰份，甲乙双方各执壹份，各份具有同等法律效力。</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3.本合同应按照中华人民共和国的现行法律进行解释。</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4.合同修改：除甲乙双方签署书面修改、补充条款，并成为本合同不可分割的一部分之外，本合同条件不得有任何变化或修改。</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                                   乙方：</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法定代表人（授权代表）：                  法定代表人（授权代表）：</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签约日期：                               签约日期： </w:t>
      </w:r>
      <w:r/>
    </w:p>
    <w:p>
      <w:pPr>
        <w:rPr>
          <w:rFonts w:hint="eastAsia" w:ascii="宋体" w:hAnsi="宋体" w:eastAsia="宋体" w:cs="宋体"/>
          <w:color w:val="000000" w:themeColor="text1"/>
          <w:sz w:val="32"/>
          <w:szCs w:val="32"/>
          <w:highlight w:val="none"/>
          <w14:textFill>
            <w14:solidFill>
              <w14:schemeClr w14:val="tx1"/>
            </w14:solidFill>
          </w14:textFill>
        </w:rPr>
        <w:sectPr>
          <w:headerReference w:type="default" r:id="rId9"/>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eastAsia="宋体" w:cs="宋体"/>
          <w:color w:val="000000" w:themeColor="text1"/>
          <w:sz w:val="32"/>
          <w:szCs w:val="32"/>
          <w:highlight w:val="none"/>
          <w14:textFill>
            <w14:solidFill>
              <w14:schemeClr w14:val="tx1"/>
            </w14:solidFill>
          </w14:textFill>
        </w:rPr>
      </w:r>
      <w:r/>
    </w:p>
    <w:p>
      <w:pPr>
        <w:pStyle w:val="8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58"/>
        <w:jc w:val="center"/>
        <w:rPr>
          <w:rFonts w:hint="eastAsia" w:ascii="宋体" w:hAnsi="宋体" w:eastAsia="宋体" w:cs="宋体"/>
          <w:color w:val="000000" w:themeColor="text1"/>
          <w:highlight w:val="none"/>
          <w14:textFill>
            <w14:solidFill>
              <w14:schemeClr w14:val="tx1"/>
            </w14:solidFill>
          </w14:textFill>
        </w:rPr>
      </w:pPr>
      <w:r/>
      <w:bookmarkStart w:id="55" w:name="_Toc20707"/>
      <w:r>
        <w:rPr>
          <w:rFonts w:hint="eastAsia" w:ascii="宋体" w:hAnsi="宋体" w:eastAsia="宋体" w:cs="宋体"/>
          <w:color w:val="000000" w:themeColor="text1"/>
          <w:highlight w:val="none"/>
          <w14:textFill>
            <w14:solidFill>
              <w14:schemeClr w14:val="tx1"/>
            </w14:solidFill>
          </w14:textFill>
        </w:rPr>
        <w:t xml:space="preserve">第六章 合格性评审办法</w:t>
      </w:r>
      <w:bookmarkEnd w:id="55"/>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一、评审办法</w:t>
      </w:r>
      <w:r/>
    </w:p>
    <w:p>
      <w:pPr>
        <w:ind w:firstLine="420"/>
        <w:spacing w:line="360" w:lineRule="auto"/>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1、本次中标，谈判响应报价共有两次报价机会，第二次报价为最终总报价；若谈判响应单位未在最后一次报价中分别报各个产品单价的，则其各个产品的单价按最终总报价与首次报价之比同比例下浮。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2、本次采购评审采用最低评标价法，即在符合采购采购需求、质量和服务相等的前提下，以提出最低报价（以第二次报价为准）的供应商作为成交供应商。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3、评标委员会各成员独立对每个进入合格性评审程序的谈判供应商的谈判响应文件按合格性评审办法进行评审和评价。</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评委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采购方以抽签方式在提出最低报价的供应商中确定成交候选人。</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评标委员会认为供应商的报价明显低于其他通过符合性审查的供应商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二、采购政策</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（一）中、小、微企业</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1.本项目专门面向中小企业采购的</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2.加盖公章后的《中小企业声明函》电子件放置于投标文件中提交，未提交则属于无效投标。</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（二）残疾人福利性单位</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（三）监狱企业</w:t>
      </w:r>
      <w:r/>
    </w:p>
    <w:p>
      <w:pPr>
        <w:ind w:firstLine="42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（四）绿色采购</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根据《关于调整优化节能产品、环境标志产品政府采购执行机制的通知》（财库〔2019〕9号）等相关文件的规定，</w:t>
      </w:r>
      <w:r>
        <w:rPr>
          <w:rFonts w:hint="eastAsia" w:ascii="宋体" w:hAnsi="宋体" w:eastAsia="宋体" w:cs="宋体"/>
          <w:bCs/>
          <w:color w:val="000000" w:themeColor="text1"/>
          <w:szCs w:val="21"/>
          <w:highlight w:val="none"/>
          <w14:textFill>
            <w14:solidFill>
              <w14:schemeClr w14:val="tx1"/>
            </w14:solidFill>
          </w14:textFill>
        </w:rPr>
        <w:t xml:space="preserve">对属于《节能产品政府采购品目清单》政府强制采购产品的，投标人需提供该产品有效期内的认证等相关证明材料，证明材料电子件放置于投标文件中提交。</w:t>
      </w:r>
      <w:r/>
    </w:p>
    <w:p>
      <w:pPr>
        <w:numPr>
          <w:ilvl w:val="0"/>
          <w:numId w:val="13"/>
        </w:num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0"/>
        <w:spacing w:line="360" w:lineRule="auto"/>
        <w:rPr>
          <w:rFonts w:hint="eastAsia" w:ascii="宋体" w:hAnsi="宋体" w:eastAsia="宋体" w:cs="宋体"/>
          <w:b/>
          <w:bCs/>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lang w:val="en-US" w:eastAsia="zh-CN" w:bidi="ar-SA"/>
          <w14:textFill>
            <w14:solidFill>
              <w14:schemeClr w14:val="tx1"/>
            </w14:solidFill>
          </w14:textFill>
        </w:rPr>
        <w:t xml:space="preserve">（六）异常低价投标审查</w:t>
      </w:r>
      <w:r/>
    </w:p>
    <w:p>
      <w:pPr>
        <w:numPr>
          <w:ilvl w:val="0"/>
          <w:numId w:val="0"/>
        </w:numPr>
        <w:ind w:firstLine="420"/>
        <w:spacing w:line="360" w:lineRule="auto"/>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1.评审过程中出现下列情形之一的，评审委员会应当启动异常低价投标审查程序：</w:t>
      </w:r>
      <w:r/>
    </w:p>
    <w:p>
      <w:pPr>
        <w:numPr>
          <w:ilvl w:val="0"/>
          <w:numId w:val="0"/>
        </w:numPr>
        <w:ind w:firstLine="420"/>
        <w:spacing w:line="360" w:lineRule="auto"/>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1.1投标报价低于采购项目预算50%的，即投标报价&lt;采购项目预算×50%；</w:t>
      </w:r>
      <w:r/>
    </w:p>
    <w:p>
      <w:pPr>
        <w:numPr>
          <w:ilvl w:val="0"/>
          <w:numId w:val="0"/>
        </w:numPr>
        <w:ind w:firstLine="420"/>
        <w:spacing w:line="360" w:lineRule="auto"/>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1.2投标报价低于采购项目最高限价45%的，即投标报价&lt;采购项目最高限价×45%；</w:t>
      </w:r>
      <w:r/>
    </w:p>
    <w:p>
      <w:pPr>
        <w:numPr>
          <w:ilvl w:val="0"/>
          <w:numId w:val="0"/>
        </w:numPr>
        <w:ind w:firstLine="420"/>
        <w:spacing w:line="360" w:lineRule="auto"/>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1.3评审委员会认定的供应商报价过低、有可能影响产品质量或者不能诚信履约的其他情形。</w:t>
      </w:r>
      <w:r/>
    </w:p>
    <w:p>
      <w:pPr>
        <w:ind w:firstLine="420"/>
        <w:spacing w:line="360" w:lineRule="auto"/>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2.启动异常低价投标审查程序后，评审委员会应当要求相关供应商在评标现场合理的时间内(由评审委员会商定澄清时间，澄清时间不少于20分钟)，提供项目具体成本测算等与报价合理性相关的书面说明及相关证明材料，对投标价格作出解释，由评审委员会结合同类产品在主要电商平台的价格、该行业当地薪资水平等情况，依据专业经验对供应商报价合理性进行判断。审查相关情况应当在评审报告中进行记录。</w:t>
      </w:r>
      <w:r/>
    </w:p>
    <w:p>
      <w:pPr>
        <w:numPr>
          <w:ilvl w:val="0"/>
          <w:numId w:val="0"/>
        </w:numP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三、评审内容表</w:t>
      </w:r>
      <w:r/>
    </w:p>
    <w:tbl>
      <w:tblPr>
        <w:tblStyle w:val="76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2461"/>
        <w:gridCol w:w="2181"/>
      </w:tblGrid>
      <w:tr>
        <w:trPr>
          <w:jc w:val="center"/>
          <w:trHeight w:val="567"/>
        </w:trPr>
        <w:tc>
          <w:tcPr>
            <w:tcW w:w="2422" w:type="pct"/>
            <w:vAlign w:val="center"/>
            <w:textDirection w:val="lrTb"/>
            <w:noWrap w:val="false"/>
          </w:tcPr>
          <w:p>
            <w:pPr>
              <w:ind w:right="-252"/>
              <w:spacing w:line="480" w:lineRule="exact"/>
              <w:rPr>
                <w:rFonts w:hint="eastAsia" w:ascii="宋体" w:hAnsi="宋体" w:eastAsia="宋体" w:cs="宋体"/>
                <w:color w:val="000000" w:themeColor="text1"/>
                <w:szCs w:val="21"/>
                <w:highlight w:val="none"/>
                <w14:textFill>
                  <w14:solidFill>
                    <w14:schemeClr w14:val="tx1"/>
                  </w14:solidFill>
                </w14:textFill>
              </w:rPr>
            </w:pPr>
            <w:r/>
            <w:bookmarkStart w:id="56" w:name="gpc_accord_horizontal_1"/>
            <w:r>
              <w:rPr>
                <w:rFonts w:hint="eastAsia" w:ascii="宋体" w:hAnsi="宋体" w:eastAsia="宋体" w:cs="宋体"/>
                <w:color w:val="000000" w:themeColor="text1"/>
                <w:szCs w:val="21"/>
                <w:highlight w:val="none"/>
                <w14:textFill>
                  <w14:solidFill>
                    <w14:schemeClr w14:val="tx1"/>
                  </w14:solidFill>
                </w14:textFill>
              </w:rPr>
              <w:t xml:space="preserve">评审内容</w:t>
            </w:r>
            <w:r/>
          </w:p>
        </w:tc>
        <w:tc>
          <w:tcPr>
            <w:tcW w:w="1367" w:type="pct"/>
            <w:vAlign w:val="center"/>
            <w:textDirection w:val="lrTb"/>
            <w:noWrap w:val="false"/>
          </w:tcPr>
          <w:p>
            <w:pPr>
              <w:ind w:right="-252"/>
              <w:spacing w:line="4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是否合格（是/否）</w:t>
            </w:r>
            <w:r/>
          </w:p>
        </w:tc>
        <w:tc>
          <w:tcPr>
            <w:tcW w:w="1211" w:type="pct"/>
            <w:vAlign w:val="center"/>
            <w:textDirection w:val="lrTb"/>
            <w:noWrap w:val="false"/>
          </w:tcPr>
          <w:p>
            <w:pPr>
              <w:ind w:right="-252"/>
              <w:spacing w:line="4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w:t>
            </w:r>
            <w:r/>
          </w:p>
        </w:tc>
      </w:tr>
      <w:tr>
        <w:trPr>
          <w:jc w:val="center"/>
          <w:trHeight w:val="567"/>
        </w:trPr>
        <w:tc>
          <w:tcPr>
            <w:tcW w:w="2422"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1.合格谈判供应商的资格条件</w:t>
            </w:r>
            <w:r/>
          </w:p>
        </w:tc>
        <w:tc>
          <w:tcPr>
            <w:tcW w:w="1367" w:type="pct"/>
            <w:textDirection w:val="lrTb"/>
            <w:noWrap w:val="false"/>
          </w:tcPr>
          <w:p>
            <w:pPr>
              <w:ind w:right="-252"/>
              <w:spacing w:line="4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7"/>
        </w:trPr>
        <w:tc>
          <w:tcPr>
            <w:tcW w:w="2422"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2.谈判响应服务的数量、技术要求等是否符合谈判文件要求</w:t>
            </w:r>
            <w:r/>
          </w:p>
        </w:tc>
        <w:tc>
          <w:tcPr>
            <w:tcW w:w="1367" w:type="pct"/>
            <w:textDirection w:val="lrTb"/>
            <w:noWrap w:val="false"/>
          </w:tcPr>
          <w:p>
            <w:pPr>
              <w:ind w:right="-252"/>
              <w:spacing w:line="4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7"/>
        </w:trPr>
        <w:tc>
          <w:tcPr>
            <w:tcW w:w="2422"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3.服务时间、付款方式、服务期限等其他综合内容承诺</w:t>
            </w:r>
            <w:r/>
          </w:p>
        </w:tc>
        <w:tc>
          <w:tcPr>
            <w:tcW w:w="1367" w:type="pct"/>
            <w:textDirection w:val="lrTb"/>
            <w:noWrap w:val="false"/>
          </w:tcPr>
          <w:p>
            <w:pPr>
              <w:ind w:right="-252"/>
              <w:spacing w:line="4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7"/>
        </w:trPr>
        <w:tc>
          <w:tcPr>
            <w:tcW w:w="2422"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4.其他，除供应商资格条件及采购技术内容以外的其他涉及实质性响应谈判文件的条款内容</w:t>
            </w:r>
            <w:bookmarkEnd w:id="56"/>
            <w:r/>
            <w:r/>
          </w:p>
        </w:tc>
        <w:tc>
          <w:tcPr>
            <w:tcW w:w="1367" w:type="pct"/>
            <w:textDirection w:val="lrTb"/>
            <w:noWrap w:val="false"/>
          </w:tcPr>
          <w:p>
            <w:pPr>
              <w:ind w:right="-252"/>
              <w:spacing w:line="4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1.各供应商必须通过项目交易系统进行该项目网上电子响应，否则视为无效响应。</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eastAsia="宋体" w:cs="宋体"/>
          <w:b/>
          <w:bCs/>
          <w:color w:val="000000" w:themeColor="text1"/>
          <w:szCs w:val="21"/>
          <w:highlight w:val="none"/>
          <w14:textFill>
            <w14:solidFill>
              <w14:schemeClr w14:val="tx1"/>
            </w14:solidFill>
          </w14:textFill>
        </w:rPr>
        <w:t xml:space="preserve">提交最后报价的规定时间为十分钟，超过规定的时间视为放弃提交最后报价</w:t>
      </w:r>
      <w:r>
        <w:rPr>
          <w:rFonts w:hint="eastAsia" w:ascii="宋体" w:hAnsi="宋体" w:eastAsia="宋体" w:cs="宋体"/>
          <w:color w:val="000000" w:themeColor="text1"/>
          <w:szCs w:val="21"/>
          <w:highlight w:val="none"/>
          <w14:textFill>
            <w14:solidFill>
              <w14:schemeClr w14:val="tx1"/>
            </w14:solidFill>
          </w14:textFill>
        </w:rPr>
        <w:t xml:space="preserve">。</w:t>
      </w:r>
      <w:r/>
    </w:p>
    <w:sectPr>
      <w:headerReference w:type="default" r:id="rId10"/>
      <w:headerReference w:type="first" r:id="rId11"/>
      <w:footerReference w:type="default" r:id="rId14"/>
      <w:footerReference w:type="first" r:id="rId15"/>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Cambria">
    <w:panose1 w:val="02040503050406030204"/>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PMingLiU">
    <w:panose1 w:val="02020500000000000000"/>
  </w:font>
  <w:font w:name="Arial Unicode MS">
    <w:panose1 w:val="020B0604020202020204"/>
  </w:font>
  <w:font w:name="长城仿宋">
    <w:panose1 w:val="020B0503020202020204"/>
  </w:font>
  <w:font w:name="Arial">
    <w:panose1 w:val="020B0604020202020204"/>
  </w:font>
  <w:font w:name="Calibri">
    <w:panose1 w:val="020F0502020204030204"/>
  </w:font>
  <w:font w:name="微软雅黑">
    <w:panose1 w:val="020B0503020204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fldSimple w:instr="PAGE \* MERGEFORMAT">
      <w:r>
        <w:t xml:space="preserve">1</w:t>
      </w:r>
    </w:fldSimple>
    <w:r/>
    <w:r/>
  </w:p>
  <w:p>
    <w:pPr>
      <w:pStyle w:val="7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fldSimple w:instr="PAGE \* MERGEFORMAT">
      <w:r>
        <w:t xml:space="preserve">1</w:t>
      </w:r>
    </w:fldSimple>
    <w:r/>
    <w:r/>
  </w:p>
  <w:p>
    <w:pPr>
      <w:pStyle w:val="79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40</w:t>
    </w:r>
    <w:r>
      <w:rPr>
        <w:rFonts w:ascii="宋体" w:hAnsi="宋体" w:eastAsia="宋体"/>
        <w:szCs w:val="21"/>
      </w:rPr>
      <w:fldChar w:fldCharType="end"/>
    </w:r>
    <w:r>
      <w:rPr>
        <w:rFonts w:hint="eastAsia" w:ascii="宋体" w:hAnsi="宋体" w:eastAsia="宋体"/>
        <w:szCs w:val="21"/>
      </w:rPr>
      <w:t xml:space="preserve"> 页</w:t>
    </w:r>
    <w:r/>
  </w:p>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宋体" w:hAnsi="宋体" w:eastAsia="宋体" w:cs="Times New Roman"/>
        <w:sz w:val="18"/>
        <w:lang w:eastAsia="zh-CN"/>
      </w:rPr>
      <w:pBdr>
        <w:bottom w:val="single" w:color="auto" w:sz="6" w:space="1"/>
      </w:pBdr>
    </w:pPr>
    <w:r>
      <w:rPr>
        <w:rFonts w:hint="eastAsia" w:ascii="宋体" w:hAnsi="宋体" w:eastAsia="宋体" w:cs="Times New Roman"/>
        <w:sz w:val="18"/>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both"/>
    </w:pP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both"/>
    </w:pPr>
    <w:r>
      <w:rPr>
        <w:rFonts w:hint="eastAsia" w:ascii="宋体" w:hAnsi="宋体" w:eastAsia="宋体"/>
      </w:rPr>
      <w:t xml:space="preserve">昆山公正招标                                                             采购标号：KSGZ2016-T-011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360" w:hanging="360"/>
      </w:pPr>
      <w:rPr>
        <w:rFonts w:hint="default"/>
      </w:rPr>
    </w:lvl>
    <w:lvl w:ilvl="1">
      <w:start w:val="2"/>
      <w:numFmt w:val="decimal"/>
      <w:pStyle w:val="1278"/>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450" w:hanging="450"/>
      </w:pPr>
      <w:rPr>
        <w:rFonts w:hint="default"/>
      </w:rPr>
    </w:lvl>
    <w:lvl w:ilvl="1">
      <w:start w:val="4"/>
      <w:numFmt w:val="decimal"/>
      <w:isLgl w:val="false"/>
      <w:suff w:val="tab"/>
      <w:lvlText w:val="%1.%2"/>
      <w:lvlJc w:val="left"/>
      <w:pPr>
        <w:ind w:left="846" w:hanging="450"/>
      </w:pPr>
      <w:rPr>
        <w:rFonts w:hint="default"/>
      </w:rPr>
    </w:lvl>
    <w:lvl w:ilvl="2">
      <w:start w:val="1"/>
      <w:numFmt w:val="bullet"/>
      <w:isLgl w:val="false"/>
      <w:suff w:val="tab"/>
      <w:lvlText w:val=""/>
      <w:lvlJc w:val="left"/>
      <w:pPr>
        <w:ind w:left="1152" w:hanging="360"/>
      </w:pPr>
      <w:rPr>
        <w:rFonts w:hint="default" w:ascii="Symbol" w:hAnsi="Symbol"/>
      </w:rPr>
    </w:lvl>
    <w:lvl w:ilvl="3">
      <w:start w:val="1"/>
      <w:numFmt w:val="decimal"/>
      <w:pStyle w:val="1276"/>
      <w:isLgl w:val="false"/>
      <w:suff w:val="tab"/>
      <w:lvlText w:val="%1.%2.%3.%4"/>
      <w:lvlJc w:val="left"/>
      <w:pPr>
        <w:ind w:left="1908" w:hanging="720"/>
      </w:pPr>
      <w:rPr>
        <w:rFonts w:hint="default"/>
      </w:rPr>
    </w:lvl>
    <w:lvl w:ilvl="4">
      <w:start w:val="1"/>
      <w:numFmt w:val="decimal"/>
      <w:isLgl w:val="false"/>
      <w:suff w:val="tab"/>
      <w:lvlText w:val="%1.%2.%3.%4.%5"/>
      <w:lvlJc w:val="left"/>
      <w:pPr>
        <w:ind w:left="2664" w:hanging="1080"/>
      </w:pPr>
      <w:rPr>
        <w:rFonts w:hint="default"/>
      </w:rPr>
    </w:lvl>
    <w:lvl w:ilvl="5">
      <w:start w:val="1"/>
      <w:numFmt w:val="decimal"/>
      <w:isLgl w:val="false"/>
      <w:suff w:val="tab"/>
      <w:lvlText w:val="%1.%2.%3.%4.%5.%6"/>
      <w:lvlJc w:val="left"/>
      <w:pPr>
        <w:ind w:left="3060" w:hanging="1080"/>
      </w:pPr>
      <w:rPr>
        <w:rFonts w:hint="default"/>
      </w:rPr>
    </w:lvl>
    <w:lvl w:ilvl="6">
      <w:start w:val="1"/>
      <w:numFmt w:val="decimal"/>
      <w:isLgl w:val="false"/>
      <w:suff w:val="tab"/>
      <w:lvlText w:val="%1.%2.%3.%4.%5.%6.%7"/>
      <w:lvlJc w:val="left"/>
      <w:pPr>
        <w:ind w:left="3816" w:hanging="1440"/>
      </w:pPr>
      <w:rPr>
        <w:rFonts w:hint="default"/>
      </w:rPr>
    </w:lvl>
    <w:lvl w:ilvl="7">
      <w:start w:val="1"/>
      <w:numFmt w:val="decimal"/>
      <w:isLgl w:val="false"/>
      <w:suff w:val="tab"/>
      <w:lvlText w:val="%1.%2.%3.%4.%5.%6.%7.%8"/>
      <w:lvlJc w:val="left"/>
      <w:pPr>
        <w:ind w:left="4212" w:hanging="1440"/>
      </w:pPr>
      <w:rPr>
        <w:rFonts w:hint="default"/>
      </w:rPr>
    </w:lvl>
    <w:lvl w:ilvl="8">
      <w:start w:val="1"/>
      <w:numFmt w:val="decimal"/>
      <w:isLgl w:val="false"/>
      <w:suff w:val="tab"/>
      <w:lvlText w:val="%1.%2.%3.%4.%5.%6.%7.%8.%9"/>
      <w:lvlJc w:val="left"/>
      <w:pPr>
        <w:ind w:left="4608" w:hanging="1440"/>
      </w:pPr>
      <w:rPr>
        <w:rFonts w:hint="default"/>
      </w:rPr>
    </w:lvl>
  </w:abstractNum>
  <w:abstractNum w:abstractNumId="6">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1"/>
  </w:num>
  <w:num w:numId="4">
    <w:abstractNumId w:val="1"/>
  </w:num>
  <w:num w:numId="5">
    <w:abstractNumId w:val="7"/>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nothing"/>
        <w:lvlText w:val="%1.%2"/>
        <w:lvlJc w:val="left"/>
        <w:pPr>
          <w:ind w:left="737" w:hanging="312"/>
        </w:pPr>
        <w:rPr>
          <w:rFonts w:hint="eastAsia"/>
        </w:rPr>
      </w:lvl>
    </w:lvlOverride>
    <w:lvlOverride w:ilvl="2">
      <w:lvl w:ilvl="2">
        <w:start w:val="1"/>
        <w:numFmt w:val="decimal"/>
        <w:isLgl w:val="false"/>
        <w:suff w:val="tab"/>
        <w:lvlText w:val="%1.%2.%3"/>
        <w:lvlJc w:val="left"/>
        <w:pPr>
          <w:ind w:left="567" w:hanging="567"/>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9">
    <w:abstractNumId w:val="10"/>
  </w:num>
  <w:num w:numId="10">
    <w:abstractNumId w:val="3"/>
  </w:num>
  <w:num w:numId="11">
    <w:abstractNumId w:val="9"/>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uiPriority w:val="0"/>
    <w:qFormat/>
    <w:pPr>
      <w:jc w:val="both"/>
      <w:widowControl w:val="off"/>
    </w:pPr>
    <w:rPr>
      <w:rFonts w:hint="default" w:ascii="Calibri" w:hAnsi="Calibri" w:eastAsia="宋体" w:cs="Times New Roman"/>
      <w:sz w:val="21"/>
    </w:rPr>
  </w:style>
  <w:style w:type="paragraph" w:styleId="758">
    <w:name w:val="Heading 1"/>
    <w:basedOn w:val="757"/>
    <w:next w:val="757"/>
    <w:link w:val="958"/>
    <w:uiPriority w:val="0"/>
    <w:qFormat/>
    <w:pPr>
      <w:jc w:val="left"/>
      <w:keepNext/>
      <w:spacing w:line="300" w:lineRule="auto"/>
      <w:outlineLvl w:val="0"/>
    </w:pPr>
    <w:rPr>
      <w:sz w:val="28"/>
    </w:rPr>
  </w:style>
  <w:style w:type="paragraph" w:styleId="759">
    <w:name w:val="Heading 2"/>
    <w:basedOn w:val="757"/>
    <w:link w:val="959"/>
    <w:uiPriority w:val="0"/>
    <w:qFormat/>
    <w:pPr>
      <w:ind w:left="360" w:hanging="360"/>
      <w:jc w:val="left"/>
      <w:widowControl/>
      <w:tabs>
        <w:tab w:val="left" w:pos="360" w:leader="none"/>
      </w:tabs>
      <w:outlineLvl w:val="1"/>
    </w:pPr>
    <w:rPr>
      <w:rFonts w:ascii="Arial" w:hAnsi="Arial" w:eastAsia="PMingLiU"/>
      <w:sz w:val="22"/>
      <w:lang w:eastAsia="zh-TW"/>
    </w:rPr>
  </w:style>
  <w:style w:type="paragraph" w:styleId="760">
    <w:name w:val="Heading 3"/>
    <w:basedOn w:val="757"/>
    <w:next w:val="757"/>
    <w:link w:val="960"/>
    <w:uiPriority w:val="9"/>
    <w:qFormat/>
    <w:pPr>
      <w:keepLines/>
      <w:keepNext/>
      <w:spacing w:before="260" w:after="260" w:line="413" w:lineRule="auto"/>
      <w:outlineLvl w:val="2"/>
    </w:pPr>
    <w:rPr>
      <w:b/>
      <w:sz w:val="32"/>
    </w:rPr>
  </w:style>
  <w:style w:type="paragraph" w:styleId="761">
    <w:name w:val="Heading 4"/>
    <w:basedOn w:val="757"/>
    <w:next w:val="757"/>
    <w:link w:val="961"/>
    <w:uiPriority w:val="0"/>
    <w:qFormat/>
    <w:pPr>
      <w:ind w:left="600" w:firstLine="357"/>
      <w:spacing w:before="468" w:after="468"/>
      <w:outlineLvl w:val="3"/>
    </w:pPr>
    <w:rPr>
      <w:rFonts w:ascii="宋体" w:hAnsi="宋体"/>
      <w:color w:val="000000"/>
      <w:sz w:val="24"/>
      <w:u w:val="single"/>
    </w:rPr>
  </w:style>
  <w:style w:type="paragraph" w:styleId="762">
    <w:name w:val="Heading 5"/>
    <w:basedOn w:val="757"/>
    <w:next w:val="769"/>
    <w:link w:val="962"/>
    <w:uiPriority w:val="0"/>
    <w:qFormat/>
    <w:pPr>
      <w:ind w:firstLine="420"/>
      <w:keepLines/>
      <w:keepNext/>
      <w:spacing w:before="100" w:after="100" w:line="376" w:lineRule="atLeast"/>
      <w:outlineLvl w:val="4"/>
    </w:pPr>
    <w:rPr>
      <w:rFonts w:ascii="宋体"/>
      <w:b/>
      <w:i/>
      <w:sz w:val="24"/>
    </w:rPr>
  </w:style>
  <w:style w:type="paragraph" w:styleId="763">
    <w:name w:val="Heading 6"/>
    <w:basedOn w:val="757"/>
    <w:next w:val="757"/>
    <w:link w:val="963"/>
    <w:uiPriority w:val="0"/>
    <w:qFormat/>
    <w:pPr>
      <w:ind w:left="420"/>
      <w:keepNext/>
      <w:outlineLvl w:val="5"/>
    </w:pPr>
    <w:rPr>
      <w:rFonts w:ascii="Arial" w:hAnsi="Arial" w:eastAsia="黑体"/>
      <w:b/>
    </w:rPr>
  </w:style>
  <w:style w:type="paragraph" w:styleId="764">
    <w:name w:val="Heading 7"/>
    <w:basedOn w:val="757"/>
    <w:next w:val="769"/>
    <w:link w:val="964"/>
    <w:uiPriority w:val="0"/>
    <w:qFormat/>
    <w:pPr>
      <w:keepNext/>
      <w:outlineLvl w:val="6"/>
    </w:pPr>
    <w:rPr>
      <w:rFonts w:ascii="Arial" w:hAnsi="Arial" w:eastAsia="黑体"/>
      <w:b/>
      <w:sz w:val="24"/>
    </w:rPr>
  </w:style>
  <w:style w:type="paragraph" w:styleId="765">
    <w:name w:val="Heading 8"/>
    <w:basedOn w:val="757"/>
    <w:next w:val="757"/>
    <w:link w:val="965"/>
    <w:uiPriority w:val="0"/>
    <w:qFormat/>
    <w:pPr>
      <w:keepNext/>
      <w:outlineLvl w:val="7"/>
    </w:pPr>
    <w:rPr>
      <w:rFonts w:ascii="Arial" w:hAnsi="Arial"/>
      <w:b/>
      <w:color w:val="000000"/>
      <w:sz w:val="16"/>
    </w:rPr>
  </w:style>
  <w:style w:type="paragraph" w:styleId="766">
    <w:name w:val="Heading 9"/>
    <w:basedOn w:val="757"/>
    <w:next w:val="769"/>
    <w:link w:val="966"/>
    <w:uiPriority w:val="0"/>
    <w:qFormat/>
    <w:pPr>
      <w:keepLines/>
      <w:keepNext/>
      <w:spacing w:before="240" w:after="64" w:line="317" w:lineRule="auto"/>
      <w:outlineLvl w:val="8"/>
    </w:pPr>
    <w:rPr>
      <w:rFonts w:ascii="Arial" w:hAnsi="Arial" w:eastAsia="黑体"/>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Normal Indent"/>
    <w:basedOn w:val="757"/>
    <w:link w:val="1092"/>
    <w:uiPriority w:val="0"/>
    <w:qFormat/>
    <w:pPr>
      <w:ind w:firstLine="420"/>
      <w:jc w:val="left"/>
    </w:pPr>
    <w:rPr>
      <w:rFonts w:eastAsia="楷体_GB2312"/>
      <w:sz w:val="24"/>
    </w:rPr>
  </w:style>
  <w:style w:type="paragraph" w:styleId="770">
    <w:name w:val="toc 7"/>
    <w:basedOn w:val="757"/>
    <w:next w:val="757"/>
    <w:uiPriority w:val="39"/>
    <w:unhideWhenUsed/>
    <w:qFormat/>
    <w:pPr>
      <w:ind w:left="1701"/>
      <w:spacing w:after="57"/>
    </w:pPr>
  </w:style>
  <w:style w:type="paragraph" w:styleId="771">
    <w:name w:val="List Bullet 4"/>
    <w:basedOn w:val="757"/>
    <w:uiPriority w:val="0"/>
    <w:qFormat/>
    <w:pPr>
      <w:ind w:left="381" w:hanging="360"/>
      <w:spacing w:after="120"/>
      <w:tabs>
        <w:tab w:val="left" w:pos="381" w:leader="none"/>
      </w:tabs>
    </w:pPr>
    <w:rPr>
      <w:sz w:val="28"/>
    </w:rPr>
  </w:style>
  <w:style w:type="paragraph" w:styleId="772">
    <w:name w:val="List Number"/>
    <w:basedOn w:val="757"/>
    <w:uiPriority w:val="0"/>
    <w:qFormat/>
    <w:pPr>
      <w:ind w:left="720" w:hanging="360"/>
      <w:jc w:val="left"/>
      <w:widowControl/>
      <w:tabs>
        <w:tab w:val="left" w:pos="839" w:leader="none"/>
      </w:tabs>
    </w:pPr>
    <w:rPr>
      <w:sz w:val="24"/>
    </w:rPr>
  </w:style>
  <w:style w:type="paragraph" w:styleId="773">
    <w:name w:val="Caption"/>
    <w:basedOn w:val="757"/>
    <w:next w:val="757"/>
    <w:uiPriority w:val="0"/>
    <w:qFormat/>
    <w:pPr>
      <w:ind w:left="1260" w:hanging="720"/>
      <w:tabs>
        <w:tab w:val="left" w:pos="180" w:leader="none"/>
        <w:tab w:val="left" w:pos="840" w:leader="none"/>
      </w:tabs>
    </w:pPr>
    <w:rPr>
      <w:rFonts w:ascii="宋体" w:hAnsi="宋体"/>
      <w:b/>
    </w:rPr>
  </w:style>
  <w:style w:type="paragraph" w:styleId="774">
    <w:name w:val="Document Map"/>
    <w:basedOn w:val="757"/>
    <w:uiPriority w:val="0"/>
    <w:qFormat/>
    <w:pPr>
      <w:shd w:val="clear" w:color="auto" w:fill="000080"/>
    </w:pPr>
  </w:style>
  <w:style w:type="paragraph" w:styleId="775">
    <w:name w:val="annotation text"/>
    <w:basedOn w:val="757"/>
    <w:link w:val="1102"/>
    <w:uiPriority w:val="99"/>
    <w:qFormat/>
    <w:pPr>
      <w:jc w:val="left"/>
    </w:pPr>
  </w:style>
  <w:style w:type="paragraph" w:styleId="776">
    <w:name w:val="Body Text 3"/>
    <w:basedOn w:val="757"/>
    <w:uiPriority w:val="0"/>
    <w:qFormat/>
    <w:rPr>
      <w:color w:val="0000ff"/>
    </w:rPr>
  </w:style>
  <w:style w:type="paragraph" w:styleId="777">
    <w:name w:val="List Bullet 3"/>
    <w:basedOn w:val="757"/>
    <w:uiPriority w:val="0"/>
    <w:qFormat/>
    <w:pPr>
      <w:ind w:left="360" w:hanging="360"/>
      <w:spacing w:after="120"/>
      <w:tabs>
        <w:tab w:val="left" w:pos="360" w:leader="none"/>
      </w:tabs>
    </w:pPr>
    <w:rPr>
      <w:sz w:val="28"/>
    </w:rPr>
  </w:style>
  <w:style w:type="paragraph" w:styleId="778">
    <w:name w:val="Body Text"/>
    <w:basedOn w:val="757"/>
    <w:link w:val="1269"/>
    <w:uiPriority w:val="99"/>
    <w:qFormat/>
    <w:pPr>
      <w:tabs>
        <w:tab w:val="left" w:pos="5250" w:leader="none"/>
      </w:tabs>
    </w:pPr>
    <w:rPr>
      <w:sz w:val="28"/>
    </w:rPr>
  </w:style>
  <w:style w:type="paragraph" w:styleId="779">
    <w:name w:val="Body Text Indent"/>
    <w:basedOn w:val="757"/>
    <w:next w:val="780"/>
    <w:link w:val="1108"/>
    <w:uiPriority w:val="99"/>
    <w:qFormat/>
    <w:pPr>
      <w:ind w:firstLine="420"/>
      <w:spacing w:line="360" w:lineRule="auto"/>
    </w:pPr>
    <w:rPr>
      <w:rFonts w:ascii="宋体" w:hAnsi="宋体"/>
    </w:rPr>
  </w:style>
  <w:style w:type="paragraph" w:styleId="780">
    <w:name w:val="envelope return"/>
    <w:basedOn w:val="757"/>
    <w:uiPriority w:val="0"/>
    <w:qFormat/>
    <w:rPr>
      <w:rFonts w:ascii="Arial" w:hAnsi="Arial"/>
    </w:rPr>
  </w:style>
  <w:style w:type="paragraph" w:styleId="781">
    <w:name w:val="Block Text"/>
    <w:basedOn w:val="757"/>
    <w:uiPriority w:val="0"/>
    <w:qFormat/>
    <w:pPr>
      <w:ind w:left="630" w:right="-609" w:firstLine="420"/>
      <w:spacing w:line="360" w:lineRule="auto"/>
    </w:pPr>
    <w:rPr>
      <w:rFonts w:hint="eastAsia" w:ascii="仿宋_GB2312" w:eastAsia="仿宋_GB2312"/>
    </w:rPr>
  </w:style>
  <w:style w:type="paragraph" w:styleId="782">
    <w:name w:val="List Bullet 2"/>
    <w:basedOn w:val="757"/>
    <w:uiPriority w:val="0"/>
    <w:qFormat/>
    <w:pPr>
      <w:ind w:left="780" w:hanging="360"/>
      <w:spacing w:after="120"/>
      <w:tabs>
        <w:tab w:val="left" w:pos="780" w:leader="none"/>
      </w:tabs>
    </w:pPr>
    <w:rPr>
      <w:sz w:val="28"/>
    </w:rPr>
  </w:style>
  <w:style w:type="paragraph" w:styleId="783">
    <w:name w:val="toc 5"/>
    <w:basedOn w:val="757"/>
    <w:next w:val="757"/>
    <w:uiPriority w:val="39"/>
    <w:unhideWhenUsed/>
    <w:qFormat/>
    <w:pPr>
      <w:ind w:left="1134"/>
      <w:spacing w:after="57"/>
    </w:pPr>
  </w:style>
  <w:style w:type="paragraph" w:styleId="784">
    <w:name w:val="toc 3"/>
    <w:basedOn w:val="757"/>
    <w:next w:val="757"/>
    <w:uiPriority w:val="39"/>
    <w:unhideWhenUsed/>
    <w:qFormat/>
    <w:pPr>
      <w:ind w:left="567"/>
      <w:spacing w:after="57"/>
    </w:pPr>
  </w:style>
  <w:style w:type="paragraph" w:styleId="785">
    <w:name w:val="Plain Text"/>
    <w:basedOn w:val="757"/>
    <w:link w:val="1118"/>
    <w:uiPriority w:val="99"/>
    <w:qFormat/>
    <w:rPr>
      <w:rFonts w:ascii="宋体" w:hAnsi="Courier New" w:eastAsia="楷体_GB2312"/>
      <w:sz w:val="28"/>
    </w:rPr>
  </w:style>
  <w:style w:type="paragraph" w:styleId="786">
    <w:name w:val="toc 8"/>
    <w:basedOn w:val="757"/>
    <w:next w:val="757"/>
    <w:uiPriority w:val="39"/>
    <w:unhideWhenUsed/>
    <w:qFormat/>
    <w:pPr>
      <w:ind w:left="1984"/>
      <w:spacing w:after="57"/>
    </w:pPr>
  </w:style>
  <w:style w:type="paragraph" w:styleId="787">
    <w:name w:val="Date"/>
    <w:basedOn w:val="757"/>
    <w:next w:val="757"/>
    <w:link w:val="1130"/>
    <w:uiPriority w:val="99"/>
    <w:qFormat/>
  </w:style>
  <w:style w:type="paragraph" w:styleId="788">
    <w:name w:val="Body Text Indent 2"/>
    <w:basedOn w:val="757"/>
    <w:uiPriority w:val="0"/>
    <w:qFormat/>
    <w:pPr>
      <w:ind w:firstLine="540"/>
      <w:spacing w:line="360" w:lineRule="auto"/>
    </w:pPr>
    <w:rPr>
      <w:rFonts w:ascii="宋体" w:hAnsi="宋体"/>
      <w:sz w:val="24"/>
    </w:rPr>
  </w:style>
  <w:style w:type="paragraph" w:styleId="789">
    <w:name w:val="endnote text"/>
    <w:basedOn w:val="757"/>
    <w:link w:val="1085"/>
    <w:uiPriority w:val="99"/>
    <w:semiHidden/>
    <w:unhideWhenUsed/>
    <w:qFormat/>
    <w:rPr>
      <w:sz w:val="20"/>
    </w:rPr>
  </w:style>
  <w:style w:type="paragraph" w:styleId="790">
    <w:name w:val="Balloon Text"/>
    <w:basedOn w:val="757"/>
    <w:link w:val="1087"/>
    <w:uiPriority w:val="99"/>
    <w:qFormat/>
    <w:rPr>
      <w:sz w:val="18"/>
    </w:rPr>
  </w:style>
  <w:style w:type="paragraph" w:styleId="791">
    <w:name w:val="Footer"/>
    <w:basedOn w:val="757"/>
    <w:link w:val="1104"/>
    <w:uiPriority w:val="99"/>
    <w:qFormat/>
    <w:pPr>
      <w:jc w:val="left"/>
      <w:tabs>
        <w:tab w:val="center" w:pos="4153" w:leader="none"/>
        <w:tab w:val="right" w:pos="8306" w:leader="none"/>
      </w:tabs>
    </w:pPr>
    <w:rPr>
      <w:rFonts w:eastAsia="楷体_GB2312"/>
      <w:sz w:val="18"/>
    </w:rPr>
  </w:style>
  <w:style w:type="paragraph" w:styleId="792">
    <w:name w:val="Header"/>
    <w:basedOn w:val="757"/>
    <w:link w:val="1113"/>
    <w:uiPriority w:val="99"/>
    <w:qFormat/>
    <w:pPr>
      <w:jc w:val="center"/>
      <w:tabs>
        <w:tab w:val="center" w:pos="4153" w:leader="none"/>
        <w:tab w:val="right" w:pos="8306" w:leader="none"/>
      </w:tabs>
      <w:pBdr>
        <w:bottom w:val="single" w:color="000000" w:sz="6" w:space="1"/>
      </w:pBdr>
    </w:pPr>
    <w:rPr>
      <w:rFonts w:eastAsia="楷体_GB2312"/>
      <w:sz w:val="18"/>
    </w:rPr>
  </w:style>
  <w:style w:type="paragraph" w:styleId="793">
    <w:name w:val="toc 1"/>
    <w:basedOn w:val="757"/>
    <w:next w:val="757"/>
    <w:uiPriority w:val="39"/>
    <w:unhideWhenUsed/>
    <w:qFormat/>
    <w:pPr>
      <w:spacing w:after="57"/>
    </w:pPr>
  </w:style>
  <w:style w:type="paragraph" w:styleId="794">
    <w:name w:val="toc 4"/>
    <w:basedOn w:val="757"/>
    <w:next w:val="757"/>
    <w:uiPriority w:val="99"/>
    <w:unhideWhenUsed/>
    <w:qFormat/>
    <w:pPr>
      <w:ind w:left="850"/>
      <w:spacing w:after="57"/>
    </w:pPr>
  </w:style>
  <w:style w:type="paragraph" w:styleId="795">
    <w:name w:val="Subtitle"/>
    <w:basedOn w:val="757"/>
    <w:next w:val="757"/>
    <w:link w:val="970"/>
    <w:uiPriority w:val="11"/>
    <w:qFormat/>
    <w:pPr>
      <w:spacing w:before="200" w:after="200"/>
    </w:pPr>
    <w:rPr>
      <w:sz w:val="24"/>
      <w:szCs w:val="24"/>
    </w:rPr>
  </w:style>
  <w:style w:type="paragraph" w:styleId="796">
    <w:name w:val="List"/>
    <w:basedOn w:val="757"/>
    <w:uiPriority w:val="0"/>
    <w:qFormat/>
    <w:pPr>
      <w:ind w:left="420" w:hanging="420"/>
      <w:spacing w:line="360" w:lineRule="auto"/>
    </w:pPr>
    <w:rPr>
      <w:rFonts w:eastAsia="仿宋_GB2312"/>
      <w:sz w:val="24"/>
    </w:rPr>
  </w:style>
  <w:style w:type="paragraph" w:styleId="797">
    <w:name w:val="footnote text"/>
    <w:basedOn w:val="757"/>
    <w:link w:val="1084"/>
    <w:uiPriority w:val="99"/>
    <w:semiHidden/>
    <w:unhideWhenUsed/>
    <w:qFormat/>
    <w:pPr>
      <w:spacing w:after="40"/>
    </w:pPr>
    <w:rPr>
      <w:sz w:val="18"/>
    </w:rPr>
  </w:style>
  <w:style w:type="paragraph" w:styleId="798">
    <w:name w:val="toc 6"/>
    <w:basedOn w:val="757"/>
    <w:next w:val="757"/>
    <w:uiPriority w:val="39"/>
    <w:unhideWhenUsed/>
    <w:qFormat/>
    <w:pPr>
      <w:ind w:left="1417"/>
      <w:spacing w:after="57"/>
    </w:pPr>
  </w:style>
  <w:style w:type="paragraph" w:styleId="799">
    <w:name w:val="Body Text Indent 3"/>
    <w:basedOn w:val="757"/>
    <w:link w:val="1271"/>
    <w:uiPriority w:val="99"/>
    <w:qFormat/>
    <w:pPr>
      <w:ind w:firstLine="480"/>
      <w:spacing w:line="360" w:lineRule="auto"/>
      <w:widowControl/>
    </w:pPr>
    <w:rPr>
      <w:sz w:val="24"/>
    </w:rPr>
  </w:style>
  <w:style w:type="paragraph" w:styleId="800">
    <w:name w:val="table of figures"/>
    <w:basedOn w:val="757"/>
    <w:next w:val="757"/>
    <w:uiPriority w:val="99"/>
    <w:unhideWhenUsed/>
    <w:qFormat/>
  </w:style>
  <w:style w:type="paragraph" w:styleId="801">
    <w:name w:val="toc 2"/>
    <w:basedOn w:val="757"/>
    <w:next w:val="757"/>
    <w:uiPriority w:val="39"/>
    <w:unhideWhenUsed/>
    <w:qFormat/>
    <w:pPr>
      <w:ind w:left="283"/>
      <w:spacing w:after="57"/>
    </w:pPr>
  </w:style>
  <w:style w:type="paragraph" w:styleId="802">
    <w:name w:val="toc 9"/>
    <w:basedOn w:val="757"/>
    <w:next w:val="757"/>
    <w:uiPriority w:val="39"/>
    <w:unhideWhenUsed/>
    <w:qFormat/>
    <w:pPr>
      <w:ind w:left="2268"/>
      <w:spacing w:after="57"/>
    </w:pPr>
  </w:style>
  <w:style w:type="paragraph" w:styleId="803">
    <w:name w:val="Body Text 2"/>
    <w:basedOn w:val="757"/>
    <w:link w:val="1262"/>
    <w:uiPriority w:val="0"/>
    <w:qFormat/>
    <w:pPr>
      <w:spacing w:line="360" w:lineRule="auto"/>
      <w:tabs>
        <w:tab w:val="left" w:pos="630" w:leader="none"/>
      </w:tabs>
    </w:pPr>
    <w:rPr>
      <w:rFonts w:ascii="宋体" w:hAnsi="宋体"/>
      <w:sz w:val="24"/>
    </w:rPr>
  </w:style>
  <w:style w:type="paragraph" w:styleId="804">
    <w:name w:val="Normal (Web)"/>
    <w:basedOn w:val="757"/>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05">
    <w:name w:val="Title"/>
    <w:basedOn w:val="757"/>
    <w:link w:val="1138"/>
    <w:uiPriority w:val="99"/>
    <w:qFormat/>
    <w:pPr>
      <w:jc w:val="center"/>
      <w:spacing w:before="156"/>
    </w:pPr>
    <w:rPr>
      <w:rFonts w:eastAsia="黑体"/>
      <w:b/>
      <w:sz w:val="32"/>
    </w:rPr>
  </w:style>
  <w:style w:type="paragraph" w:styleId="806">
    <w:name w:val="annotation subject"/>
    <w:basedOn w:val="775"/>
    <w:next w:val="775"/>
    <w:link w:val="1272"/>
    <w:uiPriority w:val="99"/>
    <w:qFormat/>
    <w:rPr>
      <w:b/>
      <w:bCs/>
    </w:rPr>
  </w:style>
  <w:style w:type="paragraph" w:styleId="807">
    <w:name w:val="Body Text First Indent 2"/>
    <w:basedOn w:val="779"/>
    <w:link w:val="1263"/>
    <w:uiPriority w:val="99"/>
    <w:semiHidden/>
    <w:unhideWhenUsed/>
    <w:qFormat/>
    <w:pPr>
      <w:ind w:left="420" w:firstLine="200"/>
      <w:spacing w:after="120" w:line="240" w:lineRule="auto"/>
    </w:pPr>
    <w:rPr>
      <w:rFonts w:ascii="Calibri" w:hAnsi="Calibri"/>
    </w:rPr>
  </w:style>
  <w:style w:type="table" w:styleId="808">
    <w:name w:val="Table Grid"/>
    <w:basedOn w:val="7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Strong"/>
    <w:uiPriority w:val="22"/>
    <w:qFormat/>
    <w:rPr>
      <w:b/>
    </w:rPr>
  </w:style>
  <w:style w:type="character" w:styleId="810">
    <w:name w:val="endnote reference"/>
    <w:uiPriority w:val="99"/>
    <w:semiHidden/>
    <w:unhideWhenUsed/>
    <w:qFormat/>
    <w:rPr>
      <w:vertAlign w:val="superscript"/>
    </w:rPr>
  </w:style>
  <w:style w:type="character" w:styleId="811">
    <w:name w:val="page number"/>
    <w:uiPriority w:val="0"/>
    <w:qFormat/>
  </w:style>
  <w:style w:type="character" w:styleId="812">
    <w:name w:val="FollowedHyperlink"/>
    <w:uiPriority w:val="99"/>
    <w:qFormat/>
    <w:rPr>
      <w:color w:val="800080"/>
      <w:u w:val="single"/>
    </w:rPr>
  </w:style>
  <w:style w:type="character" w:styleId="813">
    <w:name w:val="Emphasis"/>
    <w:basedOn w:val="767"/>
    <w:uiPriority w:val="20"/>
    <w:qFormat/>
    <w:rPr>
      <w:i/>
    </w:rPr>
  </w:style>
  <w:style w:type="character" w:styleId="814">
    <w:name w:val="HTML Typewriter"/>
    <w:uiPriority w:val="0"/>
    <w:qFormat/>
    <w:rPr>
      <w:rFonts w:ascii="黑体" w:hAnsi="Courier New" w:eastAsia="黑体" w:cs="Courier New"/>
      <w:sz w:val="14"/>
      <w:szCs w:val="14"/>
      <w:lang w:val="en-US" w:eastAsia="zh-CN" w:bidi="ar-SA"/>
    </w:rPr>
  </w:style>
  <w:style w:type="character" w:styleId="815">
    <w:name w:val="Hyperlink"/>
    <w:uiPriority w:val="99"/>
    <w:qFormat/>
    <w:rPr>
      <w:color w:val="0000ff"/>
      <w:u w:val="single"/>
    </w:rPr>
  </w:style>
  <w:style w:type="character" w:styleId="816">
    <w:name w:val="annotation reference"/>
    <w:uiPriority w:val="0"/>
    <w:qFormat/>
    <w:rPr>
      <w:sz w:val="21"/>
      <w:szCs w:val="21"/>
    </w:rPr>
  </w:style>
  <w:style w:type="character" w:styleId="817">
    <w:name w:val="footnote reference"/>
    <w:uiPriority w:val="99"/>
    <w:unhideWhenUsed/>
    <w:qFormat/>
    <w:rPr>
      <w:vertAlign w:val="superscript"/>
    </w:rPr>
  </w:style>
  <w:style w:type="paragraph" w:styleId="818" w:customStyle="1">
    <w:name w:val="正文文本1"/>
    <w:next w:val="757"/>
    <w:uiPriority w:val="0"/>
    <w:qFormat/>
    <w:pPr>
      <w:jc w:val="both"/>
      <w:widowControl w:val="off"/>
      <w:tabs>
        <w:tab w:val="left" w:pos="5250" w:leader="none"/>
      </w:tabs>
    </w:pPr>
    <w:rPr>
      <w:rFonts w:hint="default" w:ascii="Times New Roman" w:hAnsi="Times New Roman" w:eastAsia="宋体" w:cs="Times New Roman"/>
      <w:sz w:val="28"/>
      <w:szCs w:val="24"/>
      <w:lang w:val="en-US" w:eastAsia="zh-CN" w:bidi="ar-SA"/>
    </w:rPr>
  </w:style>
  <w:style w:type="paragraph" w:styleId="819" w:customStyle="1">
    <w:name w:val="正文缩进1"/>
    <w:basedOn w:val="757"/>
    <w:uiPriority w:val="99"/>
    <w:qFormat/>
    <w:pPr>
      <w:ind w:firstLine="420"/>
      <w:jc w:val="left"/>
    </w:pPr>
    <w:rPr>
      <w:rFonts w:eastAsia="楷体_GB2312"/>
      <w:sz w:val="24"/>
    </w:rPr>
  </w:style>
  <w:style w:type="table" w:styleId="820" w:customStyle="1">
    <w:name w:val="Table Grid Light"/>
    <w:basedOn w:val="7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basedOn w:val="7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6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6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6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6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6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6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6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6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6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6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6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6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basedOn w:val="7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6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6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6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6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6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6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6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basedOn w:val="76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basedOn w:val="76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basedOn w:val="76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basedOn w:val="76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basedOn w:val="76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 Accent 2"/>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 Accent 5"/>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w:basedOn w:val="7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6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6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6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3" w:customStyle="1">
    <w:name w:val="Grid Table 6 Colorful - Accent 4"/>
    <w:basedOn w:val="76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6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basedOn w:val="76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w:basedOn w:val="7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6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6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6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6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6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6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basedOn w:val="7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6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6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6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6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6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6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w:basedOn w:val="7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6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basedOn w:val="76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basedOn w:val="76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basedOn w:val="76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basedOn w:val="76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basedOn w:val="76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w:basedOn w:val="7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6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basedOn w:val="76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6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6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6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6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List Table 4"/>
    <w:basedOn w:val="7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6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basedOn w:val="76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basedOn w:val="76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basedOn w:val="76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basedOn w:val="76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basedOn w:val="76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List Table 5 Dark"/>
    <w:basedOn w:val="7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6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6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6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6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6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6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basedOn w:val="7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6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basedOn w:val="76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basedOn w:val="76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basedOn w:val="76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basedOn w:val="76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basedOn w:val="76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List Table 7 Colorful"/>
    <w:basedOn w:val="7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6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6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6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6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6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6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922" w:customStyle="1">
    <w:name w:val="TOC Heading"/>
    <w:uiPriority w:val="39"/>
    <w:unhideWhenUsed/>
    <w:qFormat/>
    <w:rPr>
      <w:rFonts w:hint="default" w:ascii="Times New Roman" w:hAnsi="Times New Roman" w:eastAsia="宋体" w:cs="Times New Roman"/>
    </w:rPr>
  </w:style>
  <w:style w:type="table" w:styleId="923" w:customStyle="1">
    <w:name w:val="无格式表格 11"/>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无格式表格 21"/>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31"/>
    <w:basedOn w:val="76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无格式表格 41"/>
    <w:basedOn w:val="76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无格式表格 51"/>
    <w:basedOn w:val="76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网格表 1 浅色1"/>
    <w:basedOn w:val="7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9" w:customStyle="1">
    <w:name w:val="网格表 2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网格表 3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网格表 41"/>
    <w:basedOn w:val="7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网格表 5 深色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3" w:customStyle="1">
    <w:name w:val="网格表 6 彩色1"/>
    <w:basedOn w:val="7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网格表 7 彩色1"/>
    <w:basedOn w:val="7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清单表 1 浅色1"/>
    <w:basedOn w:val="76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customStyle="1">
    <w:name w:val="清单表 21"/>
    <w:basedOn w:val="7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清单表 3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清单表 4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清单表 5 深色1"/>
    <w:basedOn w:val="7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清单表 6 彩色1"/>
    <w:basedOn w:val="76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清单表 7 彩色1"/>
    <w:basedOn w:val="76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2" w:customStyle="1">
    <w:name w:val="TOC 标题1"/>
    <w:uiPriority w:val="39"/>
    <w:unhideWhenUsed/>
    <w:qFormat/>
    <w:rPr>
      <w:rFonts w:hint="default" w:ascii="Times New Roman" w:hAnsi="Times New Roman" w:eastAsia="宋体" w:cs="Times New Roman"/>
    </w:rPr>
  </w:style>
  <w:style w:type="paragraph" w:styleId="943" w:customStyle="1">
    <w:name w:val="段"/>
    <w:next w:val="757"/>
    <w:uiPriority w:val="0"/>
    <w:qFormat/>
    <w:pPr>
      <w:ind w:firstLine="200"/>
      <w:jc w:val="both"/>
    </w:pPr>
    <w:rPr>
      <w:rFonts w:hint="default" w:ascii="Calibri" w:hAnsi="Calibri" w:eastAsia="Times New Roman" w:cs="Times New Roman"/>
      <w:sz w:val="21"/>
    </w:rPr>
  </w:style>
  <w:style w:type="paragraph" w:styleId="944" w:customStyle="1">
    <w:name w:val="TOC 标题111"/>
    <w:uiPriority w:val="39"/>
    <w:unhideWhenUsed/>
    <w:qFormat/>
    <w:rPr>
      <w:rFonts w:hint="default" w:ascii="Times New Roman" w:hAnsi="Times New Roman" w:eastAsia="宋体" w:cs="Times New Roman"/>
    </w:rPr>
  </w:style>
  <w:style w:type="character" w:styleId="945" w:customStyle="1">
    <w:name w:val="Heading 1 Char"/>
    <w:basedOn w:val="767"/>
    <w:uiPriority w:val="9"/>
    <w:qFormat/>
    <w:rPr>
      <w:rFonts w:ascii="Arial" w:hAnsi="Arial" w:eastAsia="Arial" w:cs="Arial"/>
      <w:sz w:val="40"/>
      <w:szCs w:val="40"/>
    </w:rPr>
  </w:style>
  <w:style w:type="character" w:styleId="946" w:customStyle="1">
    <w:name w:val="Heading 2 Char"/>
    <w:basedOn w:val="767"/>
    <w:uiPriority w:val="9"/>
    <w:qFormat/>
    <w:rPr>
      <w:rFonts w:ascii="Arial" w:hAnsi="Arial" w:eastAsia="Arial" w:cs="Arial"/>
      <w:sz w:val="34"/>
    </w:rPr>
  </w:style>
  <w:style w:type="character" w:styleId="947" w:customStyle="1">
    <w:name w:val="Heading 3 Char"/>
    <w:basedOn w:val="767"/>
    <w:uiPriority w:val="9"/>
    <w:qFormat/>
    <w:rPr>
      <w:rFonts w:ascii="Arial" w:hAnsi="Arial" w:eastAsia="Arial" w:cs="Arial"/>
      <w:sz w:val="30"/>
      <w:szCs w:val="30"/>
    </w:rPr>
  </w:style>
  <w:style w:type="character" w:styleId="948" w:customStyle="1">
    <w:name w:val="Heading 4 Char"/>
    <w:basedOn w:val="767"/>
    <w:uiPriority w:val="9"/>
    <w:qFormat/>
    <w:rPr>
      <w:rFonts w:ascii="Arial" w:hAnsi="Arial" w:eastAsia="Arial" w:cs="Arial"/>
      <w:b/>
      <w:bCs/>
      <w:sz w:val="26"/>
      <w:szCs w:val="26"/>
    </w:rPr>
  </w:style>
  <w:style w:type="character" w:styleId="949" w:customStyle="1">
    <w:name w:val="Heading 5 Char"/>
    <w:basedOn w:val="767"/>
    <w:uiPriority w:val="9"/>
    <w:qFormat/>
    <w:rPr>
      <w:rFonts w:ascii="Arial" w:hAnsi="Arial" w:eastAsia="Arial" w:cs="Arial"/>
      <w:b/>
      <w:bCs/>
      <w:sz w:val="24"/>
      <w:szCs w:val="24"/>
    </w:rPr>
  </w:style>
  <w:style w:type="character" w:styleId="950" w:customStyle="1">
    <w:name w:val="Heading 6 Char"/>
    <w:basedOn w:val="767"/>
    <w:uiPriority w:val="9"/>
    <w:qFormat/>
    <w:rPr>
      <w:rFonts w:ascii="Arial" w:hAnsi="Arial" w:eastAsia="Arial" w:cs="Arial"/>
      <w:b/>
      <w:bCs/>
      <w:sz w:val="22"/>
      <w:szCs w:val="22"/>
    </w:rPr>
  </w:style>
  <w:style w:type="character" w:styleId="951" w:customStyle="1">
    <w:name w:val="Heading 7 Char"/>
    <w:basedOn w:val="767"/>
    <w:uiPriority w:val="9"/>
    <w:qFormat/>
    <w:rPr>
      <w:rFonts w:ascii="Arial" w:hAnsi="Arial" w:eastAsia="Arial" w:cs="Arial"/>
      <w:b/>
      <w:bCs/>
      <w:i/>
      <w:iCs/>
      <w:sz w:val="22"/>
      <w:szCs w:val="22"/>
    </w:rPr>
  </w:style>
  <w:style w:type="character" w:styleId="952" w:customStyle="1">
    <w:name w:val="Heading 8 Char"/>
    <w:basedOn w:val="767"/>
    <w:uiPriority w:val="9"/>
    <w:qFormat/>
    <w:rPr>
      <w:rFonts w:ascii="Arial" w:hAnsi="Arial" w:eastAsia="Arial" w:cs="Arial"/>
      <w:i/>
      <w:iCs/>
      <w:sz w:val="22"/>
      <w:szCs w:val="22"/>
    </w:rPr>
  </w:style>
  <w:style w:type="character" w:styleId="953" w:customStyle="1">
    <w:name w:val="Heading 9 Char"/>
    <w:basedOn w:val="767"/>
    <w:uiPriority w:val="9"/>
    <w:qFormat/>
    <w:rPr>
      <w:rFonts w:ascii="Arial" w:hAnsi="Arial" w:eastAsia="Arial" w:cs="Arial"/>
      <w:i/>
      <w:iCs/>
      <w:sz w:val="21"/>
      <w:szCs w:val="21"/>
    </w:rPr>
  </w:style>
  <w:style w:type="character" w:styleId="954" w:customStyle="1">
    <w:name w:val="Subtitle Char"/>
    <w:basedOn w:val="767"/>
    <w:uiPriority w:val="11"/>
    <w:qFormat/>
    <w:rPr>
      <w:sz w:val="24"/>
      <w:szCs w:val="24"/>
    </w:rPr>
  </w:style>
  <w:style w:type="character" w:styleId="955" w:customStyle="1">
    <w:name w:val="Intense Quote Char"/>
    <w:uiPriority w:val="30"/>
    <w:qFormat/>
    <w:rPr>
      <w:i/>
    </w:rPr>
  </w:style>
  <w:style w:type="character" w:styleId="956" w:customStyle="1">
    <w:name w:val="Footnote Text Char"/>
    <w:uiPriority w:val="99"/>
    <w:qFormat/>
    <w:rPr>
      <w:sz w:val="18"/>
    </w:rPr>
  </w:style>
  <w:style w:type="character" w:styleId="957" w:customStyle="1">
    <w:name w:val="Endnote Text Char"/>
    <w:uiPriority w:val="99"/>
    <w:qFormat/>
    <w:rPr>
      <w:sz w:val="20"/>
    </w:rPr>
  </w:style>
  <w:style w:type="character" w:styleId="958" w:customStyle="1">
    <w:name w:val="标题 1 字符"/>
    <w:link w:val="758"/>
    <w:uiPriority w:val="0"/>
    <w:qFormat/>
    <w:rPr>
      <w:rFonts w:ascii="Arial" w:hAnsi="Arial" w:eastAsia="Arial" w:cs="Arial"/>
      <w:sz w:val="40"/>
      <w:szCs w:val="40"/>
    </w:rPr>
  </w:style>
  <w:style w:type="character" w:styleId="959" w:customStyle="1">
    <w:name w:val="标题 2 字符"/>
    <w:link w:val="759"/>
    <w:uiPriority w:val="0"/>
    <w:qFormat/>
    <w:rPr>
      <w:rFonts w:ascii="Arial" w:hAnsi="Arial" w:eastAsia="Arial" w:cs="Arial"/>
      <w:sz w:val="34"/>
    </w:rPr>
  </w:style>
  <w:style w:type="character" w:styleId="960" w:customStyle="1">
    <w:name w:val="标题 3 字符"/>
    <w:link w:val="760"/>
    <w:uiPriority w:val="9"/>
    <w:qFormat/>
    <w:rPr>
      <w:rFonts w:ascii="Arial" w:hAnsi="Arial" w:eastAsia="Arial" w:cs="Arial"/>
      <w:sz w:val="30"/>
      <w:szCs w:val="30"/>
    </w:rPr>
  </w:style>
  <w:style w:type="character" w:styleId="961" w:customStyle="1">
    <w:name w:val="标题 4 字符"/>
    <w:link w:val="761"/>
    <w:uiPriority w:val="0"/>
    <w:qFormat/>
    <w:rPr>
      <w:rFonts w:ascii="Arial" w:hAnsi="Arial" w:eastAsia="Arial" w:cs="Arial"/>
      <w:b/>
      <w:bCs/>
      <w:sz w:val="26"/>
      <w:szCs w:val="26"/>
    </w:rPr>
  </w:style>
  <w:style w:type="character" w:styleId="962" w:customStyle="1">
    <w:name w:val="标题 5 字符"/>
    <w:link w:val="762"/>
    <w:uiPriority w:val="9"/>
    <w:qFormat/>
    <w:rPr>
      <w:rFonts w:ascii="Arial" w:hAnsi="Arial" w:eastAsia="Arial" w:cs="Arial"/>
      <w:b/>
      <w:bCs/>
      <w:sz w:val="24"/>
      <w:szCs w:val="24"/>
    </w:rPr>
  </w:style>
  <w:style w:type="character" w:styleId="963" w:customStyle="1">
    <w:name w:val="标题 6 字符"/>
    <w:link w:val="763"/>
    <w:uiPriority w:val="9"/>
    <w:qFormat/>
    <w:rPr>
      <w:rFonts w:ascii="Arial" w:hAnsi="Arial" w:eastAsia="Arial" w:cs="Arial"/>
      <w:b/>
      <w:bCs/>
      <w:sz w:val="22"/>
      <w:szCs w:val="22"/>
    </w:rPr>
  </w:style>
  <w:style w:type="character" w:styleId="964" w:customStyle="1">
    <w:name w:val="标题 7 字符"/>
    <w:link w:val="764"/>
    <w:uiPriority w:val="9"/>
    <w:qFormat/>
    <w:rPr>
      <w:rFonts w:ascii="Arial" w:hAnsi="Arial" w:eastAsia="Arial" w:cs="Arial"/>
      <w:b/>
      <w:bCs/>
      <w:i/>
      <w:iCs/>
      <w:sz w:val="22"/>
      <w:szCs w:val="22"/>
    </w:rPr>
  </w:style>
  <w:style w:type="character" w:styleId="965" w:customStyle="1">
    <w:name w:val="标题 8 字符"/>
    <w:link w:val="765"/>
    <w:uiPriority w:val="9"/>
    <w:qFormat/>
    <w:rPr>
      <w:rFonts w:ascii="Arial" w:hAnsi="Arial" w:eastAsia="Arial" w:cs="Arial"/>
      <w:i/>
      <w:iCs/>
      <w:sz w:val="22"/>
      <w:szCs w:val="22"/>
    </w:rPr>
  </w:style>
  <w:style w:type="character" w:styleId="966" w:customStyle="1">
    <w:name w:val="标题 9 字符"/>
    <w:link w:val="766"/>
    <w:uiPriority w:val="9"/>
    <w:qFormat/>
    <w:rPr>
      <w:rFonts w:ascii="Arial" w:hAnsi="Arial" w:eastAsia="Arial" w:cs="Arial"/>
      <w:i/>
      <w:iCs/>
      <w:sz w:val="21"/>
      <w:szCs w:val="21"/>
    </w:rPr>
  </w:style>
  <w:style w:type="paragraph" w:styleId="967">
    <w:name w:val="List Paragraph"/>
    <w:basedOn w:val="757"/>
    <w:link w:val="1328"/>
    <w:uiPriority w:val="34"/>
    <w:qFormat/>
    <w:pPr>
      <w:contextualSpacing/>
      <w:ind w:left="720"/>
    </w:pPr>
  </w:style>
  <w:style w:type="paragraph" w:styleId="968">
    <w:name w:val="No Spacing"/>
    <w:link w:val="1266"/>
    <w:uiPriority w:val="1"/>
    <w:qFormat/>
    <w:rPr>
      <w:rFonts w:hint="default" w:ascii="Calibri" w:hAnsi="Calibri" w:eastAsia="宋体" w:cs="Times New Roman"/>
    </w:rPr>
  </w:style>
  <w:style w:type="character" w:styleId="969" w:customStyle="1">
    <w:name w:val="Title Char"/>
    <w:uiPriority w:val="10"/>
    <w:qFormat/>
    <w:rPr>
      <w:sz w:val="48"/>
      <w:szCs w:val="48"/>
    </w:rPr>
  </w:style>
  <w:style w:type="character" w:styleId="970" w:customStyle="1">
    <w:name w:val="副标题 字符"/>
    <w:link w:val="795"/>
    <w:uiPriority w:val="11"/>
    <w:qFormat/>
    <w:rPr>
      <w:sz w:val="24"/>
      <w:szCs w:val="24"/>
    </w:rPr>
  </w:style>
  <w:style w:type="paragraph" w:styleId="971">
    <w:name w:val="Quote"/>
    <w:basedOn w:val="757"/>
    <w:next w:val="757"/>
    <w:link w:val="1115"/>
    <w:uiPriority w:val="29"/>
    <w:qFormat/>
    <w:rPr>
      <w:i/>
      <w:iCs/>
      <w:color w:val="000000"/>
      <w:szCs w:val="24"/>
    </w:rPr>
  </w:style>
  <w:style w:type="character" w:styleId="972" w:customStyle="1">
    <w:name w:val="Quote Char"/>
    <w:uiPriority w:val="29"/>
    <w:qFormat/>
    <w:rPr>
      <w:i/>
    </w:rPr>
  </w:style>
  <w:style w:type="paragraph" w:styleId="973">
    <w:name w:val="Intense Quote"/>
    <w:basedOn w:val="757"/>
    <w:next w:val="757"/>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customStyle="1">
    <w:name w:val="明显引用 字符"/>
    <w:link w:val="973"/>
    <w:uiPriority w:val="30"/>
    <w:qFormat/>
    <w:rPr>
      <w:i/>
    </w:rPr>
  </w:style>
  <w:style w:type="character" w:styleId="975" w:customStyle="1">
    <w:name w:val="Header Char"/>
    <w:uiPriority w:val="99"/>
    <w:qFormat/>
  </w:style>
  <w:style w:type="character" w:styleId="976" w:customStyle="1">
    <w:name w:val="Footer Char"/>
    <w:uiPriority w:val="99"/>
    <w:qFormat/>
  </w:style>
  <w:style w:type="character" w:styleId="977" w:customStyle="1">
    <w:name w:val="Caption Char"/>
    <w:uiPriority w:val="99"/>
    <w:qFormat/>
  </w:style>
  <w:style w:type="table" w:styleId="978" w:customStyle="1">
    <w:name w:val="Table Grid Light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9" w:customStyle="1">
    <w:name w:val="Grid Table 1 Light - Accent 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5" w:customStyle="1">
    <w:name w:val="Grid Table 2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Grid Table 3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4 - Accent 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8" w:customStyle="1">
    <w:name w:val="Grid Table 4 - Accent 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9" w:customStyle="1">
    <w:name w:val="Grid Table 4 - Accent 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0" w:customStyle="1">
    <w:name w:val="Grid Table 4 - Accent 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1" w:customStyle="1">
    <w:name w:val="Grid Table 4 - Accent 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2" w:customStyle="1">
    <w:name w:val="Grid Table 4 - Accent 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4" w:customStyle="1">
    <w:name w:val="Grid Table 5 Dark - Accent 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5" w:customStyle="1">
    <w:name w:val="Grid Table 5 Dark - Accent 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7" w:customStyle="1">
    <w:name w:val="Grid Table 5 Dark - Accent 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8" w:customStyle="1">
    <w:name w:val="Grid Table 5 Dark - Accent 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9"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0" w:customStyle="1">
    <w:name w:val="Grid Table 6 Colorful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1" w:customStyle="1">
    <w:name w:val="Grid Table 6 Colorful - Accent 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2"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3" w:customStyle="1">
    <w:name w:val="Grid Table 6 Colorful - Accent 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6 Colorful - Accent 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5"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6" w:customStyle="1">
    <w:name w:val="Grid Table 7 Colorful - Accent 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7 Colorful - Accent 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7 Colorful - Accent 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0" w:customStyle="1">
    <w:name w:val="Grid Table 7 Colorful - Accent 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1" w:customStyle="1">
    <w:name w:val="List Table 1 Light - Accent 1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1 Light - Accent 21"/>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3" w:customStyle="1">
    <w:name w:val="List Table 1 Light - Accent 31"/>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4" w:customStyle="1">
    <w:name w:val="List Table 1 Light - Accent 41"/>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5" w:customStyle="1">
    <w:name w:val="List Table 1 Light - Accent 51"/>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6" w:customStyle="1">
    <w:name w:val="List Table 1 Light - Accent 61"/>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7" w:customStyle="1">
    <w:name w:val="List Table 2 - Accent 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8" w:customStyle="1">
    <w:name w:val="List Table 2 - Accent 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9" w:customStyle="1">
    <w:name w:val="List Table 2 - Accent 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0" w:customStyle="1">
    <w:name w:val="List Table 2 - Accent 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1" w:customStyle="1">
    <w:name w:val="List Table 2 - Accent 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2" w:customStyle="1">
    <w:name w:val="List Table 2 - Accent 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3" w:customStyle="1">
    <w:name w:val="List Table 3 - Accent 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3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5" w:customStyle="1">
    <w:name w:val="List Table 3 - Accent 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6" w:customStyle="1">
    <w:name w:val="List Table 3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7" w:customStyle="1">
    <w:name w:val="List Table 3 - Accent 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8" w:customStyle="1">
    <w:name w:val="List Table 3 - Accent 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9" w:customStyle="1">
    <w:name w:val="List Table 4 - Accent 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0" w:customStyle="1">
    <w:name w:val="List Table 4 - Accent 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1" w:customStyle="1">
    <w:name w:val="List Table 4 - Accent 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2" w:customStyle="1">
    <w:name w:val="List Table 4 - Accent 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3" w:customStyle="1">
    <w:name w:val="List Table 4 - Accent 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4" w:customStyle="1">
    <w:name w:val="List Table 4 - Accent 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5"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6 Colorful - Accent 1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2" w:customStyle="1">
    <w:name w:val="List Table 6 Colorful - Accent 21"/>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3" w:customStyle="1">
    <w:name w:val="List Table 6 Colorful - Accent 31"/>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4"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5"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6"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7" w:customStyle="1">
    <w:name w:val="List Table 7 Colorful - Accent 1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1"/>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1"/>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脚注文本 字符"/>
    <w:link w:val="797"/>
    <w:uiPriority w:val="99"/>
    <w:qFormat/>
    <w:rPr>
      <w:sz w:val="18"/>
    </w:rPr>
  </w:style>
  <w:style w:type="character" w:styleId="1085" w:customStyle="1">
    <w:name w:val="尾注文本 字符"/>
    <w:link w:val="789"/>
    <w:uiPriority w:val="99"/>
    <w:qFormat/>
    <w:rPr>
      <w:sz w:val="20"/>
    </w:rPr>
  </w:style>
  <w:style w:type="paragraph" w:styleId="1086" w:customStyle="1">
    <w:name w:val="TOC 标题11"/>
    <w:uiPriority w:val="39"/>
    <w:unhideWhenUsed/>
    <w:qFormat/>
    <w:rPr>
      <w:rFonts w:hint="default" w:ascii="Calibri" w:hAnsi="Calibri" w:eastAsia="宋体" w:cs="Times New Roman"/>
    </w:rPr>
  </w:style>
  <w:style w:type="character" w:styleId="1087" w:customStyle="1">
    <w:name w:val="批注框文本 字符"/>
    <w:link w:val="790"/>
    <w:uiPriority w:val="99"/>
    <w:qFormat/>
    <w:rPr>
      <w:sz w:val="18"/>
    </w:rPr>
  </w:style>
  <w:style w:type="character" w:styleId="1088" w:customStyle="1">
    <w:name w:val="+正文 Char Char"/>
    <w:link w:val="1089"/>
    <w:uiPriority w:val="0"/>
    <w:qFormat/>
    <w:rPr>
      <w:rFonts w:ascii="宋体" w:hAnsi="宋体"/>
      <w:sz w:val="24"/>
      <w:szCs w:val="28"/>
    </w:rPr>
  </w:style>
  <w:style w:type="paragraph" w:styleId="1089" w:customStyle="1">
    <w:name w:val="+正文 Char"/>
    <w:basedOn w:val="757"/>
    <w:link w:val="1088"/>
    <w:uiPriority w:val="0"/>
    <w:qFormat/>
    <w:pPr>
      <w:ind w:firstLine="200"/>
      <w:spacing w:line="360" w:lineRule="auto"/>
    </w:pPr>
    <w:rPr>
      <w:rFonts w:ascii="宋体" w:hAnsi="宋体"/>
      <w:sz w:val="24"/>
      <w:szCs w:val="28"/>
    </w:rPr>
  </w:style>
  <w:style w:type="character" w:styleId="1090" w:customStyle="1">
    <w:name w:val="font31"/>
    <w:uiPriority w:val="0"/>
    <w:qFormat/>
    <w:rPr>
      <w:rFonts w:ascii="Times New Roman" w:hAnsi="Times New Roman" w:cs="Times New Roman"/>
      <w:color w:val="000000"/>
      <w:sz w:val="16"/>
      <w:szCs w:val="16"/>
      <w:u w:val="none"/>
    </w:rPr>
  </w:style>
  <w:style w:type="character" w:styleId="1091" w:customStyle="1">
    <w:name w:val="9font1"/>
    <w:uiPriority w:val="0"/>
    <w:qFormat/>
    <w:rPr>
      <w:rFonts w:hint="eastAsia" w:ascii="黑体" w:eastAsia="黑体"/>
      <w:color w:val="000000"/>
      <w:sz w:val="20"/>
    </w:rPr>
  </w:style>
  <w:style w:type="character" w:styleId="1092" w:customStyle="1">
    <w:name w:val="正文缩进 字符"/>
    <w:link w:val="769"/>
    <w:uiPriority w:val="0"/>
    <w:qFormat/>
    <w:rPr>
      <w:rFonts w:eastAsia="楷体_GB2312"/>
      <w:sz w:val="24"/>
    </w:rPr>
  </w:style>
  <w:style w:type="character" w:styleId="1093" w:customStyle="1">
    <w:name w:val="font61"/>
    <w:uiPriority w:val="0"/>
    <w:qFormat/>
    <w:rPr>
      <w:rFonts w:ascii="Times New Roman" w:hAnsi="Times New Roman" w:cs="Times New Roman"/>
      <w:color w:val="000000"/>
      <w:sz w:val="16"/>
      <w:szCs w:val="16"/>
      <w:u w:val="none"/>
    </w:rPr>
  </w:style>
  <w:style w:type="character" w:styleId="1094" w:customStyle="1">
    <w:name w:val="cn21"/>
    <w:uiPriority w:val="0"/>
    <w:qFormat/>
    <w:rPr>
      <w:color w:val="ffffff"/>
      <w:sz w:val="18"/>
      <w:u w:val="none"/>
    </w:rPr>
  </w:style>
  <w:style w:type="character" w:styleId="1095" w:customStyle="1">
    <w:name w:val="SANGFOR_6_正文 Char"/>
    <w:link w:val="1096"/>
    <w:uiPriority w:val="0"/>
    <w:qFormat/>
    <w:rPr>
      <w:rFonts w:ascii="微软雅黑" w:hAnsi="微软雅黑" w:eastAsia="微软雅黑"/>
      <w:sz w:val="21"/>
      <w:szCs w:val="21"/>
    </w:rPr>
  </w:style>
  <w:style w:type="paragraph" w:styleId="1096" w:customStyle="1">
    <w:name w:val="SANGFOR_6_正文"/>
    <w:basedOn w:val="757"/>
    <w:link w:val="1095"/>
    <w:uiPriority w:val="0"/>
    <w:qFormat/>
    <w:pPr>
      <w:ind w:firstLine="420"/>
      <w:jc w:val="left"/>
      <w:spacing w:line="360" w:lineRule="auto"/>
    </w:pPr>
    <w:rPr>
      <w:rFonts w:ascii="微软雅黑" w:hAnsi="微软雅黑" w:eastAsia="微软雅黑"/>
      <w:szCs w:val="21"/>
    </w:rPr>
  </w:style>
  <w:style w:type="character" w:styleId="1097" w:customStyle="1">
    <w:name w:val="font11"/>
    <w:uiPriority w:val="0"/>
    <w:qFormat/>
    <w:rPr>
      <w:rFonts w:hint="eastAsia" w:ascii="宋体" w:hAnsi="宋体" w:eastAsia="宋体" w:cs="宋体"/>
      <w:color w:val="000000"/>
      <w:sz w:val="20"/>
      <w:szCs w:val="20"/>
      <w:u w:val="none"/>
    </w:rPr>
  </w:style>
  <w:style w:type="character" w:styleId="1098" w:customStyle="1">
    <w:name w:val="new1"/>
    <w:uiPriority w:val="0"/>
    <w:qFormat/>
    <w:rPr>
      <w:rFonts w:ascii="Verdana" w:hAnsi="Verdana"/>
      <w:color w:val="333333"/>
      <w:sz w:val="18"/>
      <w:shd w:val="clear" w:color="auto" w:fill="ffffff"/>
    </w:rPr>
  </w:style>
  <w:style w:type="character" w:styleId="1099" w:customStyle="1">
    <w:name w:val="列出段落 Char Char"/>
    <w:link w:val="1100"/>
    <w:uiPriority w:val="34"/>
    <w:qFormat/>
    <w:rPr>
      <w:sz w:val="21"/>
    </w:rPr>
  </w:style>
  <w:style w:type="paragraph" w:styleId="1100" w:customStyle="1">
    <w:name w:val="列出段落1"/>
    <w:basedOn w:val="757"/>
    <w:link w:val="1099"/>
    <w:uiPriority w:val="34"/>
    <w:qFormat/>
    <w:pPr>
      <w:ind w:left="720"/>
    </w:pPr>
  </w:style>
  <w:style w:type="character" w:styleId="1101" w:customStyle="1">
    <w:name w:val="批注文字 Char1"/>
    <w:uiPriority w:val="99"/>
    <w:semiHidden/>
    <w:qFormat/>
    <w:rPr>
      <w:rFonts w:ascii="Times New Roman" w:hAnsi="Times New Roman"/>
      <w:sz w:val="21"/>
      <w:szCs w:val="24"/>
    </w:rPr>
  </w:style>
  <w:style w:type="character" w:styleId="1102" w:customStyle="1">
    <w:name w:val="批注文字 字符"/>
    <w:link w:val="775"/>
    <w:uiPriority w:val="99"/>
    <w:qFormat/>
    <w:rPr>
      <w:sz w:val="21"/>
    </w:rPr>
  </w:style>
  <w:style w:type="character" w:styleId="1103" w:customStyle="1">
    <w:name w:val="body"/>
    <w:uiPriority w:val="0"/>
    <w:qFormat/>
  </w:style>
  <w:style w:type="character" w:styleId="1104" w:customStyle="1">
    <w:name w:val="页脚 字符"/>
    <w:link w:val="791"/>
    <w:uiPriority w:val="99"/>
    <w:qFormat/>
    <w:rPr>
      <w:rFonts w:eastAsia="楷体_GB2312"/>
      <w:sz w:val="18"/>
    </w:rPr>
  </w:style>
  <w:style w:type="character" w:styleId="1105" w:customStyle="1">
    <w:name w:val="明显参考1"/>
    <w:uiPriority w:val="32"/>
    <w:qFormat/>
    <w:rPr>
      <w:b/>
      <w:bCs/>
      <w:color w:val="76923c"/>
      <w:u w:val="single"/>
    </w:rPr>
  </w:style>
  <w:style w:type="character" w:styleId="1106" w:customStyle="1">
    <w:name w:val="列出段落 Char"/>
    <w:link w:val="1107"/>
    <w:uiPriority w:val="34"/>
    <w:qFormat/>
    <w:rPr>
      <w:rFonts w:ascii="Calibri" w:hAnsi="Calibri"/>
      <w:sz w:val="21"/>
      <w:szCs w:val="22"/>
    </w:rPr>
  </w:style>
  <w:style w:type="paragraph" w:styleId="1107" w:customStyle="1">
    <w:name w:val="列出段落2"/>
    <w:basedOn w:val="757"/>
    <w:link w:val="1106"/>
    <w:uiPriority w:val="34"/>
    <w:qFormat/>
    <w:pPr>
      <w:ind w:firstLine="420"/>
    </w:pPr>
    <w:rPr>
      <w:szCs w:val="22"/>
    </w:rPr>
  </w:style>
  <w:style w:type="character" w:styleId="1108" w:customStyle="1">
    <w:name w:val="正文文本缩进 字符"/>
    <w:link w:val="779"/>
    <w:uiPriority w:val="99"/>
    <w:qFormat/>
    <w:rPr>
      <w:rFonts w:ascii="宋体" w:hAnsi="宋体"/>
      <w:sz w:val="21"/>
    </w:rPr>
  </w:style>
  <w:style w:type="character" w:styleId="1109" w:customStyle="1">
    <w:name w:val="fs1"/>
    <w:uiPriority w:val="0"/>
    <w:qFormat/>
    <w:rPr>
      <w:rFonts w:ascii="Verdana" w:hAnsi="Verdana"/>
      <w:color w:val="003366"/>
      <w:sz w:val="18"/>
      <w:u w:val="none"/>
    </w:rPr>
  </w:style>
  <w:style w:type="character" w:styleId="1110" w:customStyle="1">
    <w:name w:val="段落正文 Char Char"/>
    <w:link w:val="1111"/>
    <w:uiPriority w:val="0"/>
    <w:qFormat/>
    <w:rPr>
      <w:rFonts w:eastAsia="宋体"/>
      <w:sz w:val="24"/>
      <w:szCs w:val="24"/>
      <w:lang w:val="en-US" w:eastAsia="zh-CN" w:bidi="ar-SA"/>
    </w:rPr>
  </w:style>
  <w:style w:type="paragraph" w:styleId="1111" w:customStyle="1">
    <w:name w:val="段落正文"/>
    <w:basedOn w:val="757"/>
    <w:link w:val="1110"/>
    <w:uiPriority w:val="0"/>
    <w:qFormat/>
    <w:pPr>
      <w:ind w:firstLine="200"/>
      <w:spacing w:line="360" w:lineRule="auto"/>
    </w:pPr>
    <w:rPr>
      <w:sz w:val="24"/>
      <w:szCs w:val="24"/>
    </w:rPr>
  </w:style>
  <w:style w:type="character" w:styleId="1112" w:customStyle="1">
    <w:name w:val="font01"/>
    <w:uiPriority w:val="0"/>
    <w:qFormat/>
    <w:rPr>
      <w:rFonts w:hint="eastAsia" w:ascii="仿宋_GB2312" w:eastAsia="仿宋_GB2312" w:cs="仿宋_GB2312"/>
      <w:color w:val="000000"/>
      <w:sz w:val="16"/>
      <w:szCs w:val="16"/>
      <w:u w:val="none"/>
    </w:rPr>
  </w:style>
  <w:style w:type="character" w:styleId="1113" w:customStyle="1">
    <w:name w:val="页眉 字符"/>
    <w:link w:val="792"/>
    <w:uiPriority w:val="99"/>
    <w:qFormat/>
    <w:rPr>
      <w:rFonts w:eastAsia="楷体_GB2312"/>
      <w:sz w:val="18"/>
    </w:rPr>
  </w:style>
  <w:style w:type="character" w:styleId="1114" w:customStyle="1">
    <w:name w:val="span21"/>
    <w:uiPriority w:val="0"/>
    <w:qFormat/>
    <w:rPr>
      <w:color w:val="c00000"/>
    </w:rPr>
  </w:style>
  <w:style w:type="character" w:styleId="1115" w:customStyle="1">
    <w:name w:val="引用 字符"/>
    <w:link w:val="971"/>
    <w:uiPriority w:val="29"/>
    <w:qFormat/>
    <w:rPr>
      <w:i/>
      <w:iCs/>
      <w:color w:val="000000"/>
      <w:sz w:val="21"/>
      <w:szCs w:val="24"/>
    </w:rPr>
  </w:style>
  <w:style w:type="character" w:styleId="1116" w:customStyle="1">
    <w:name w:val="text"/>
    <w:uiPriority w:val="0"/>
    <w:qFormat/>
  </w:style>
  <w:style w:type="character" w:styleId="1117" w:customStyle="1">
    <w:name w:val="nr"/>
    <w:uiPriority w:val="0"/>
    <w:qFormat/>
  </w:style>
  <w:style w:type="character" w:styleId="1118" w:customStyle="1">
    <w:name w:val="纯文本 字符"/>
    <w:link w:val="785"/>
    <w:uiPriority w:val="99"/>
    <w:qFormat/>
    <w:rPr>
      <w:rFonts w:ascii="宋体" w:hAnsi="Courier New" w:eastAsia="楷体_GB2312"/>
      <w:sz w:val="28"/>
    </w:rPr>
  </w:style>
  <w:style w:type="character" w:styleId="1119" w:customStyle="1">
    <w:name w:val="正文首行缩进 2 Char"/>
    <w:link w:val="1120"/>
    <w:uiPriority w:val="99"/>
    <w:semiHidden/>
    <w:qFormat/>
  </w:style>
  <w:style w:type="paragraph" w:styleId="1120" w:customStyle="1">
    <w:name w:val="正文首行缩进 21"/>
    <w:basedOn w:val="779"/>
    <w:link w:val="1119"/>
    <w:uiPriority w:val="99"/>
    <w:unhideWhenUsed/>
    <w:qFormat/>
    <w:pPr>
      <w:ind w:left="420"/>
      <w:spacing w:after="120" w:line="240" w:lineRule="auto"/>
    </w:pPr>
    <w:rPr>
      <w:rFonts w:ascii="Times New Roman" w:hAnsi="Times New Roman"/>
    </w:rPr>
  </w:style>
  <w:style w:type="character" w:styleId="1121" w:customStyle="1">
    <w:name w:val="unnamed21"/>
    <w:uiPriority w:val="0"/>
    <w:qFormat/>
    <w:rPr>
      <w:color w:val="000000"/>
      <w:sz w:val="22"/>
    </w:rPr>
  </w:style>
  <w:style w:type="character" w:styleId="1122" w:customStyle="1">
    <w:name w:val="font71"/>
    <w:uiPriority w:val="0"/>
    <w:qFormat/>
    <w:rPr>
      <w:rFonts w:ascii="Times New Roman" w:hAnsi="Times New Roman" w:cs="Times New Roman"/>
      <w:color w:val="000000"/>
      <w:sz w:val="21"/>
      <w:szCs w:val="21"/>
      <w:u w:val="single"/>
    </w:rPr>
  </w:style>
  <w:style w:type="character" w:styleId="1123" w:customStyle="1">
    <w:name w:val="无间隔 Char"/>
    <w:link w:val="1124"/>
    <w:uiPriority w:val="1"/>
    <w:qFormat/>
    <w:rPr>
      <w:rFonts w:ascii="Calibri" w:hAnsi="Calibri" w:eastAsia="宋体" w:cs="Times New Roman"/>
      <w:sz w:val="22"/>
      <w:szCs w:val="22"/>
    </w:rPr>
  </w:style>
  <w:style w:type="paragraph" w:styleId="1124" w:customStyle="1">
    <w:name w:val="无间隔1"/>
    <w:basedOn w:val="757"/>
    <w:link w:val="1123"/>
    <w:uiPriority w:val="1"/>
    <w:qFormat/>
    <w:pPr>
      <w:jc w:val="left"/>
      <w:widowControl/>
    </w:pPr>
    <w:rPr>
      <w:sz w:val="22"/>
      <w:szCs w:val="22"/>
    </w:rPr>
  </w:style>
  <w:style w:type="character" w:styleId="1125" w:customStyle="1">
    <w:name w:val="Char Char Char Char Char Char Char Char"/>
    <w:uiPriority w:val="0"/>
    <w:qFormat/>
    <w:rPr>
      <w:rFonts w:ascii="Tahoma" w:hAnsi="Tahoma" w:eastAsia="宋体"/>
      <w:sz w:val="24"/>
      <w:lang w:bidi="ar-SA"/>
    </w:rPr>
  </w:style>
  <w:style w:type="character" w:styleId="1126" w:customStyle="1">
    <w:name w:val="big1"/>
    <w:uiPriority w:val="0"/>
    <w:qFormat/>
    <w:rPr>
      <w:color w:val="000000"/>
      <w:sz w:val="36"/>
      <w:szCs w:val="36"/>
      <w:u w:val="none"/>
    </w:rPr>
  </w:style>
  <w:style w:type="character" w:styleId="1127" w:customStyle="1">
    <w:name w:val="标题 3 Char Char Char"/>
    <w:uiPriority w:val="0"/>
    <w:qFormat/>
    <w:rPr>
      <w:rFonts w:eastAsia="宋体"/>
      <w:b/>
      <w:color w:val="000000"/>
      <w:sz w:val="28"/>
      <w:lang w:val="en-US" w:eastAsia="zh-CN"/>
    </w:rPr>
  </w:style>
  <w:style w:type="character" w:styleId="1128" w:customStyle="1">
    <w:name w:val="text1"/>
    <w:uiPriority w:val="0"/>
    <w:qFormat/>
    <w:rPr>
      <w:color w:val="cccccc"/>
      <w:sz w:val="18"/>
    </w:rPr>
  </w:style>
  <w:style w:type="character" w:styleId="1129" w:customStyle="1">
    <w:name w:val="style14"/>
    <w:uiPriority w:val="0"/>
    <w:qFormat/>
  </w:style>
  <w:style w:type="character" w:styleId="1130" w:customStyle="1">
    <w:name w:val="日期 字符"/>
    <w:link w:val="787"/>
    <w:uiPriority w:val="99"/>
    <w:qFormat/>
    <w:rPr>
      <w:sz w:val="21"/>
    </w:rPr>
  </w:style>
  <w:style w:type="character" w:styleId="1131" w:customStyle="1">
    <w:name w:val="t31"/>
    <w:uiPriority w:val="0"/>
    <w:qFormat/>
    <w:rPr>
      <w:sz w:val="21"/>
      <w:szCs w:val="21"/>
    </w:rPr>
  </w:style>
  <w:style w:type="character" w:styleId="1132" w:customStyle="1">
    <w:name w:val="Plain Text Char"/>
    <w:link w:val="1133"/>
    <w:uiPriority w:val="0"/>
    <w:qFormat/>
    <w:rPr>
      <w:rFonts w:ascii="宋体" w:hAnsi="Courier New" w:eastAsia="楷体_GB2312"/>
      <w:sz w:val="26"/>
    </w:rPr>
  </w:style>
  <w:style w:type="paragraph" w:styleId="1133" w:customStyle="1">
    <w:name w:val="纯文本2"/>
    <w:basedOn w:val="757"/>
    <w:link w:val="1132"/>
    <w:uiPriority w:val="0"/>
    <w:qFormat/>
    <w:rPr>
      <w:rFonts w:ascii="宋体" w:hAnsi="Courier New" w:eastAsia="楷体_GB2312"/>
      <w:sz w:val="26"/>
    </w:rPr>
  </w:style>
  <w:style w:type="character" w:styleId="1134" w:customStyle="1">
    <w:name w:val="font51"/>
    <w:uiPriority w:val="0"/>
    <w:qFormat/>
    <w:rPr>
      <w:rFonts w:hint="eastAsia" w:ascii="宋体" w:hAnsi="宋体" w:eastAsia="宋体" w:cs="宋体"/>
      <w:color w:val="000000"/>
      <w:sz w:val="21"/>
      <w:szCs w:val="21"/>
      <w:u w:val="none"/>
    </w:rPr>
  </w:style>
  <w:style w:type="character" w:styleId="1135" w:customStyle="1">
    <w:name w:val="msonormal"/>
    <w:uiPriority w:val="0"/>
    <w:qFormat/>
  </w:style>
  <w:style w:type="character" w:styleId="1136" w:customStyle="1">
    <w:name w:val="txt1"/>
    <w:uiPriority w:val="0"/>
    <w:qFormat/>
    <w:rPr>
      <w:color w:val="000099"/>
      <w:sz w:val="20"/>
      <w:u w:val="none"/>
    </w:rPr>
  </w:style>
  <w:style w:type="character" w:styleId="1137" w:customStyle="1">
    <w:name w:val="font21"/>
    <w:uiPriority w:val="0"/>
    <w:qFormat/>
    <w:rPr>
      <w:rFonts w:hint="eastAsia" w:ascii="宋体" w:hAnsi="宋体" w:eastAsia="宋体" w:cs="宋体"/>
      <w:color w:val="000000"/>
      <w:sz w:val="20"/>
      <w:szCs w:val="20"/>
      <w:u w:val="none"/>
    </w:rPr>
  </w:style>
  <w:style w:type="character" w:styleId="1138" w:customStyle="1">
    <w:name w:val="标题 字符"/>
    <w:link w:val="805"/>
    <w:uiPriority w:val="99"/>
    <w:qFormat/>
    <w:rPr>
      <w:rFonts w:eastAsia="黑体"/>
      <w:b/>
      <w:sz w:val="32"/>
    </w:rPr>
  </w:style>
  <w:style w:type="character" w:styleId="1139" w:customStyle="1">
    <w:name w:val="diy Char Char"/>
    <w:link w:val="1140"/>
    <w:uiPriority w:val="0"/>
    <w:qFormat/>
    <w:rPr>
      <w:rFonts w:ascii="宋体" w:hAnsi="宋体" w:eastAsia="宋体"/>
      <w:sz w:val="24"/>
      <w:lang w:val="en-US" w:eastAsia="zh-CN"/>
    </w:rPr>
  </w:style>
  <w:style w:type="paragraph" w:styleId="1140" w:customStyle="1">
    <w:name w:val="diy"/>
    <w:basedOn w:val="757"/>
    <w:link w:val="1139"/>
    <w:uiPriority w:val="0"/>
    <w:qFormat/>
    <w:pPr>
      <w:ind w:firstLine="480"/>
      <w:spacing w:before="156" w:after="156" w:line="300" w:lineRule="auto"/>
      <w:tabs>
        <w:tab w:val="right" w:pos="9030" w:leader="middleDot"/>
      </w:tabs>
    </w:pPr>
    <w:rPr>
      <w:rFonts w:ascii="宋体" w:hAnsi="宋体"/>
      <w:sz w:val="24"/>
    </w:rPr>
  </w:style>
  <w:style w:type="character" w:styleId="1141" w:customStyle="1">
    <w:name w:val="Char Char Char Char Char Char Char Char Char"/>
    <w:link w:val="1142"/>
    <w:uiPriority w:val="0"/>
    <w:qFormat/>
    <w:rPr>
      <w:rFonts w:ascii="Tahoma" w:hAnsi="Tahoma" w:eastAsia="宋体"/>
      <w:sz w:val="24"/>
      <w:lang w:val="en-US" w:eastAsia="zh-CN" w:bidi="ar-SA"/>
    </w:rPr>
  </w:style>
  <w:style w:type="paragraph" w:styleId="1142" w:customStyle="1">
    <w:name w:val="Char Char Char Char Char Char Char"/>
    <w:basedOn w:val="757"/>
    <w:link w:val="1141"/>
    <w:uiPriority w:val="0"/>
    <w:qFormat/>
    <w:pPr>
      <w:ind w:firstLine="480"/>
      <w:spacing w:line="360" w:lineRule="auto"/>
    </w:pPr>
    <w:rPr>
      <w:rFonts w:ascii="Tahoma" w:hAnsi="Tahoma"/>
      <w:sz w:val="24"/>
    </w:rPr>
  </w:style>
  <w:style w:type="character" w:styleId="1143" w:customStyle="1">
    <w:name w:val="porttext"/>
    <w:uiPriority w:val="0"/>
    <w:qFormat/>
  </w:style>
  <w:style w:type="character" w:styleId="1144" w:customStyle="1">
    <w:name w:val="DIY文本正文 Char Char"/>
    <w:link w:val="1145"/>
    <w:uiPriority w:val="0"/>
    <w:qFormat/>
    <w:rPr>
      <w:rFonts w:ascii="长城仿宋" w:eastAsia="宋体"/>
      <w:sz w:val="24"/>
      <w:lang w:val="en-US" w:eastAsia="zh-CN"/>
    </w:rPr>
  </w:style>
  <w:style w:type="paragraph" w:styleId="1145" w:customStyle="1">
    <w:name w:val="DIY文本正文"/>
    <w:basedOn w:val="757"/>
    <w:link w:val="1144"/>
    <w:uiPriority w:val="0"/>
    <w:qFormat/>
    <w:pPr>
      <w:ind w:firstLine="454"/>
      <w:spacing w:line="300" w:lineRule="auto"/>
    </w:pPr>
    <w:rPr>
      <w:rFonts w:ascii="长城仿宋"/>
      <w:sz w:val="24"/>
    </w:rPr>
  </w:style>
  <w:style w:type="character" w:styleId="1146" w:customStyle="1">
    <w:name w:val="正文缩进 Char1"/>
    <w:uiPriority w:val="0"/>
    <w:qFormat/>
    <w:rPr>
      <w:rFonts w:eastAsia="楷体_GB2312"/>
      <w:sz w:val="24"/>
    </w:rPr>
  </w:style>
  <w:style w:type="paragraph" w:styleId="1147" w:customStyle="1">
    <w:name w:val="纯文本12"/>
    <w:basedOn w:val="757"/>
    <w:uiPriority w:val="0"/>
    <w:qFormat/>
    <w:rPr>
      <w:rFonts w:hint="eastAsia" w:ascii="宋体" w:hAnsi="Courier New" w:eastAsia="楷体_GB2312"/>
      <w:sz w:val="28"/>
    </w:rPr>
  </w:style>
  <w:style w:type="paragraph" w:styleId="1148" w:customStyle="1">
    <w:name w:val="font6"/>
    <w:basedOn w:val="757"/>
    <w:uiPriority w:val="0"/>
    <w:qFormat/>
    <w:pPr>
      <w:jc w:val="left"/>
      <w:spacing w:before="100" w:beforeAutospacing="1" w:after="100" w:afterAutospacing="1"/>
      <w:widowControl/>
    </w:pPr>
    <w:rPr>
      <w:rFonts w:hint="eastAsia" w:ascii="宋体" w:hAnsi="宋体"/>
      <w:sz w:val="20"/>
    </w:rPr>
  </w:style>
  <w:style w:type="paragraph" w:styleId="1149" w:customStyle="1">
    <w:name w:val="文档正文"/>
    <w:basedOn w:val="757"/>
    <w:uiPriority w:val="0"/>
    <w:qFormat/>
    <w:pPr>
      <w:ind w:firstLine="567"/>
      <w:spacing w:line="480" w:lineRule="atLeast"/>
    </w:pPr>
    <w:rPr>
      <w:rFonts w:ascii="长城仿宋"/>
      <w:sz w:val="24"/>
    </w:rPr>
  </w:style>
  <w:style w:type="paragraph" w:styleId="1150" w:customStyle="1">
    <w:name w:val="Char Char Char"/>
    <w:basedOn w:val="757"/>
    <w:uiPriority w:val="0"/>
    <w:qFormat/>
    <w:rPr>
      <w:rFonts w:ascii="Tahoma" w:hAnsi="Tahoma"/>
      <w:sz w:val="24"/>
    </w:rPr>
  </w:style>
  <w:style w:type="paragraph" w:styleId="1151" w:customStyle="1">
    <w:name w:val="H2]"/>
    <w:basedOn w:val="758"/>
    <w:uiPriority w:val="0"/>
    <w:qFormat/>
    <w:pPr>
      <w:jc w:val="both"/>
      <w:keepLines/>
      <w:spacing w:before="340" w:after="330" w:line="576" w:lineRule="auto"/>
      <w:tabs>
        <w:tab w:val="left" w:pos="405" w:leader="none"/>
      </w:tabs>
    </w:pPr>
    <w:rPr>
      <w:b/>
      <w:sz w:val="36"/>
    </w:rPr>
  </w:style>
  <w:style w:type="paragraph" w:styleId="1152" w:customStyle="1">
    <w:name w:val="目录 11"/>
    <w:basedOn w:val="757"/>
    <w:next w:val="757"/>
    <w:uiPriority w:val="39"/>
    <w:unhideWhenUsed/>
    <w:qFormat/>
    <w:pPr>
      <w:jc w:val="left"/>
      <w:spacing w:before="120" w:after="120"/>
      <w:tabs>
        <w:tab w:val="right" w:pos="8777" w:leader="dot"/>
      </w:tabs>
    </w:pPr>
    <w:rPr>
      <w:b/>
      <w:bCs/>
      <w:caps/>
      <w:sz w:val="20"/>
    </w:rPr>
  </w:style>
  <w:style w:type="paragraph" w:styleId="1153" w:customStyle="1">
    <w:name w:val="xl32"/>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54" w:customStyle="1">
    <w:name w:val="表格栏头"/>
    <w:basedOn w:val="1155"/>
    <w:next w:val="1155"/>
    <w:uiPriority w:val="0"/>
    <w:qFormat/>
    <w:rPr>
      <w:b/>
    </w:rPr>
  </w:style>
  <w:style w:type="paragraph" w:styleId="1155" w:customStyle="1">
    <w:name w:val="表格正文"/>
    <w:basedOn w:val="757"/>
    <w:uiPriority w:val="99"/>
    <w:qFormat/>
    <w:pPr>
      <w:ind w:hanging="108"/>
      <w:jc w:val="center"/>
      <w:spacing w:before="60" w:after="60" w:line="360" w:lineRule="auto"/>
      <w:widowControl/>
    </w:pPr>
    <w:rPr>
      <w:rFonts w:ascii="宋体" w:hAnsi="宋体"/>
      <w:color w:val="ff0000"/>
    </w:rPr>
  </w:style>
  <w:style w:type="paragraph" w:styleId="1156" w:customStyle="1">
    <w:name w:val="_Style 31"/>
    <w:basedOn w:val="757"/>
    <w:next w:val="785"/>
    <w:uiPriority w:val="0"/>
    <w:qFormat/>
    <w:rPr>
      <w:rFonts w:ascii="宋体" w:hAnsi="Courier New"/>
    </w:rPr>
  </w:style>
  <w:style w:type="paragraph" w:styleId="1157" w:customStyle="1">
    <w:name w:val="Plain Text2"/>
    <w:basedOn w:val="757"/>
    <w:uiPriority w:val="0"/>
    <w:qFormat/>
    <w:rPr>
      <w:rFonts w:hint="eastAsia" w:ascii="宋体" w:hAnsi="Courier New" w:eastAsia="楷体_GB2312"/>
      <w:sz w:val="28"/>
    </w:rPr>
  </w:style>
  <w:style w:type="paragraph" w:styleId="1158" w:customStyle="1">
    <w:name w:val="Command"/>
    <w:uiPriority w:val="0"/>
    <w:qFormat/>
    <w:pPr>
      <w:spacing w:before="160" w:after="160"/>
    </w:pPr>
    <w:rPr>
      <w:rFonts w:hint="default" w:ascii="Arial" w:hAnsi="Arial" w:eastAsia="黑体" w:cs="Times New Roman"/>
      <w:sz w:val="21"/>
    </w:rPr>
  </w:style>
  <w:style w:type="paragraph" w:styleId="1159" w:customStyle="1">
    <w:name w:val="版权"/>
    <w:basedOn w:val="757"/>
    <w:uiPriority w:val="0"/>
    <w:qFormat/>
    <w:pPr>
      <w:ind w:hanging="108"/>
      <w:jc w:val="center"/>
      <w:spacing w:before="120" w:line="400" w:lineRule="exact"/>
    </w:pPr>
    <w:rPr>
      <w:rFonts w:ascii="楷体_GB2312" w:hAnsi="Tahoma" w:eastAsia="楷体_GB2312"/>
      <w:b/>
      <w:sz w:val="24"/>
    </w:rPr>
  </w:style>
  <w:style w:type="paragraph" w:styleId="1160" w:customStyle="1">
    <w:name w:val="Char Char"/>
    <w:basedOn w:val="757"/>
    <w:uiPriority w:val="0"/>
    <w:qFormat/>
    <w:pPr>
      <w:jc w:val="left"/>
      <w:spacing w:after="160" w:line="240" w:lineRule="exact"/>
      <w:widowControl/>
    </w:pPr>
  </w:style>
  <w:style w:type="paragraph" w:styleId="1161" w:customStyle="1">
    <w:name w:val="Í¼ºÅ"/>
    <w:basedOn w:val="757"/>
    <w:uiPriority w:val="0"/>
    <w:qFormat/>
    <w:pPr>
      <w:jc w:val="center"/>
      <w:spacing w:after="210"/>
      <w:widowControl/>
    </w:pPr>
    <w:rPr>
      <w:rFonts w:ascii="宋体"/>
    </w:rPr>
  </w:style>
  <w:style w:type="paragraph" w:styleId="1162" w:customStyle="1">
    <w:name w:val="Plain Text11"/>
    <w:basedOn w:val="757"/>
    <w:uiPriority w:val="0"/>
    <w:qFormat/>
    <w:rPr>
      <w:rFonts w:ascii="宋体" w:hAnsi="Courier New" w:eastAsia="楷体_GB2312"/>
      <w:sz w:val="28"/>
    </w:rPr>
  </w:style>
  <w:style w:type="paragraph" w:styleId="1163" w:customStyle="1">
    <w:name w:val="新正文"/>
    <w:basedOn w:val="757"/>
    <w:uiPriority w:val="0"/>
    <w:qFormat/>
    <w:pPr>
      <w:ind w:firstLine="510"/>
      <w:spacing w:line="360" w:lineRule="auto"/>
    </w:pPr>
    <w:rPr>
      <w:rFonts w:eastAsia="仿宋_GB2312"/>
      <w:sz w:val="24"/>
    </w:rPr>
  </w:style>
  <w:style w:type="paragraph" w:styleId="1164" w:customStyle="1">
    <w:name w:val="Char Char1"/>
    <w:basedOn w:val="757"/>
    <w:uiPriority w:val="0"/>
    <w:qFormat/>
    <w:pPr>
      <w:jc w:val="left"/>
      <w:spacing w:after="160" w:line="240" w:lineRule="exact"/>
      <w:widowControl/>
    </w:pPr>
    <w:rPr>
      <w:sz w:val="24"/>
      <w:szCs w:val="24"/>
    </w:rPr>
  </w:style>
  <w:style w:type="paragraph" w:styleId="1165" w:customStyle="1">
    <w:name w:val="重点条目"/>
    <w:basedOn w:val="778"/>
    <w:next w:val="778"/>
    <w:uiPriority w:val="0"/>
    <w:qFormat/>
    <w:pPr>
      <w:spacing w:before="240" w:after="120" w:line="360" w:lineRule="auto"/>
      <w:widowControl/>
      <w:tabs>
        <w:tab w:val="clear" w:pos="5250" w:leader="none"/>
      </w:tabs>
    </w:pPr>
    <w:rPr>
      <w:rFonts w:ascii="宋体" w:eastAsia="楷体_GB2312"/>
      <w:b/>
      <w:spacing w:val="20"/>
    </w:rPr>
  </w:style>
  <w:style w:type="paragraph" w:styleId="1166" w:customStyle="1">
    <w:name w:val="Plain Text1"/>
    <w:basedOn w:val="757"/>
    <w:uiPriority w:val="0"/>
    <w:qFormat/>
    <w:rPr>
      <w:rFonts w:ascii="宋体" w:hAnsi="Courier New" w:eastAsia="楷体_GB2312"/>
      <w:sz w:val="26"/>
    </w:rPr>
  </w:style>
  <w:style w:type="paragraph" w:styleId="1167" w:customStyle="1">
    <w:name w:val="标书正文格式"/>
    <w:uiPriority w:val="0"/>
    <w:qFormat/>
    <w:pPr>
      <w:ind w:firstLine="200"/>
      <w:spacing w:line="360" w:lineRule="auto"/>
    </w:pPr>
    <w:rPr>
      <w:rFonts w:hint="default" w:ascii="Calibri" w:hAnsi="Calibri" w:eastAsia="仿宋_GB2312" w:cs="Times New Roman"/>
      <w:sz w:val="28"/>
    </w:rPr>
  </w:style>
  <w:style w:type="paragraph" w:styleId="1168" w:customStyle="1">
    <w:name w:val="Txt."/>
    <w:basedOn w:val="761"/>
    <w:uiPriority w:val="0"/>
    <w:qFormat/>
    <w:pPr>
      <w:ind w:left="0" w:firstLine="0"/>
      <w:keepLines/>
      <w:keepNext/>
      <w:spacing w:before="280" w:after="290" w:line="372" w:lineRule="auto"/>
    </w:pPr>
    <w:rPr>
      <w:rFonts w:ascii="Arial" w:hAnsi="Arial" w:eastAsia="黑体"/>
      <w:b/>
      <w:sz w:val="28"/>
      <w:u w:val="none"/>
    </w:rPr>
  </w:style>
  <w:style w:type="paragraph" w:styleId="1169" w:customStyle="1">
    <w:name w:val="纯文本111"/>
    <w:basedOn w:val="757"/>
    <w:uiPriority w:val="0"/>
    <w:qFormat/>
    <w:pPr>
      <w:jc w:val="left"/>
      <w:widowControl/>
    </w:pPr>
    <w:rPr>
      <w:rFonts w:ascii="宋体" w:hAnsi="Courier New" w:eastAsia="楷体_GB2312"/>
      <w:sz w:val="26"/>
    </w:rPr>
  </w:style>
  <w:style w:type="paragraph" w:styleId="1170" w:customStyle="1">
    <w:name w:val="正文文字1"/>
    <w:basedOn w:val="778"/>
    <w:uiPriority w:val="0"/>
    <w:qFormat/>
    <w:pPr>
      <w:ind w:firstLine="560"/>
      <w:spacing w:before="156" w:after="156" w:line="360" w:lineRule="auto"/>
      <w:tabs>
        <w:tab w:val="clear" w:pos="5250" w:leader="none"/>
      </w:tabs>
    </w:pPr>
    <w:rPr>
      <w:rFonts w:ascii="Arial" w:hAnsi="宋体"/>
      <w:sz w:val="24"/>
    </w:rPr>
  </w:style>
  <w:style w:type="paragraph" w:styleId="1171" w:customStyle="1">
    <w:name w:val="dit"/>
    <w:basedOn w:val="761"/>
    <w:uiPriority w:val="0"/>
    <w:qFormat/>
    <w:pPr>
      <w:ind w:left="0" w:firstLine="0"/>
      <w:keepLines/>
      <w:keepNext/>
      <w:spacing w:before="0" w:after="0" w:line="300" w:lineRule="auto"/>
    </w:pPr>
    <w:rPr>
      <w:b/>
      <w:u w:val="none"/>
    </w:rPr>
  </w:style>
  <w:style w:type="paragraph" w:styleId="1172" w:customStyle="1">
    <w:name w:val="信息标题2"/>
    <w:basedOn w:val="773"/>
    <w:next w:val="773"/>
    <w:uiPriority w:val="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73" w:customStyle="1">
    <w:name w:val="纯文本11"/>
    <w:basedOn w:val="757"/>
    <w:uiPriority w:val="0"/>
    <w:qFormat/>
    <w:rPr>
      <w:rFonts w:ascii="宋体" w:hAnsi="Courier New" w:eastAsia="楷体_GB2312"/>
      <w:sz w:val="28"/>
    </w:rPr>
  </w:style>
  <w:style w:type="paragraph" w:styleId="1174" w:customStyle="1">
    <w:name w:val="xl41"/>
    <w:basedOn w:val="757"/>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75" w:customStyle="1">
    <w:name w:val="标题2"/>
    <w:basedOn w:val="759"/>
    <w:uiPriority w:val="0"/>
    <w:qFormat/>
    <w:pPr>
      <w:ind w:left="0" w:firstLine="0"/>
      <w:keepLines/>
      <w:spacing w:before="78" w:after="78" w:line="440" w:lineRule="exact"/>
      <w:tabs>
        <w:tab w:val="left" w:pos="420" w:leader="none"/>
      </w:tabs>
    </w:pPr>
    <w:rPr>
      <w:sz w:val="32"/>
    </w:rPr>
  </w:style>
  <w:style w:type="paragraph" w:styleId="1176" w:customStyle="1">
    <w:name w:val="xl2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7" w:customStyle="1">
    <w:name w:val="标题3"/>
    <w:basedOn w:val="757"/>
    <w:uiPriority w:val="0"/>
    <w:qFormat/>
    <w:pPr>
      <w:spacing w:before="78" w:after="78" w:line="300" w:lineRule="auto"/>
    </w:pPr>
    <w:rPr>
      <w:rFonts w:ascii="宋体" w:hAnsi="宋体"/>
      <w:b/>
      <w:sz w:val="28"/>
    </w:rPr>
  </w:style>
  <w:style w:type="paragraph" w:styleId="1178" w:customStyle="1">
    <w:name w:val="Table bold"/>
    <w:basedOn w:val="757"/>
    <w:uiPriority w:val="0"/>
    <w:qFormat/>
    <w:pPr>
      <w:ind w:left="420" w:hanging="420"/>
      <w:tabs>
        <w:tab w:val="left" w:pos="420" w:leader="none"/>
      </w:tabs>
    </w:pPr>
    <w:rPr>
      <w:rFonts w:ascii="宋体" w:hAnsi="宋体"/>
      <w:b/>
      <w:sz w:val="28"/>
    </w:rPr>
  </w:style>
  <w:style w:type="paragraph" w:styleId="1179" w:customStyle="1">
    <w:name w:val="xl34"/>
    <w:basedOn w:val="75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80" w:customStyle="1">
    <w:name w:val="_Style 29"/>
    <w:basedOn w:val="757"/>
    <w:next w:val="785"/>
    <w:uiPriority w:val="0"/>
    <w:qFormat/>
    <w:rPr>
      <w:rFonts w:ascii="宋体" w:hAnsi="Courier New"/>
    </w:rPr>
  </w:style>
  <w:style w:type="paragraph" w:styleId="1181" w:customStyle="1">
    <w:name w:val="目录 81"/>
    <w:basedOn w:val="757"/>
    <w:next w:val="757"/>
    <w:uiPriority w:val="39"/>
    <w:unhideWhenUsed/>
    <w:qFormat/>
    <w:pPr>
      <w:ind w:left="1470"/>
      <w:jc w:val="left"/>
    </w:pPr>
    <w:rPr>
      <w:sz w:val="18"/>
      <w:szCs w:val="18"/>
    </w:rPr>
  </w:style>
  <w:style w:type="paragraph" w:styleId="1182" w:customStyle="1">
    <w:name w:val="声明文字"/>
    <w:basedOn w:val="757"/>
    <w:uiPriority w:val="0"/>
    <w:qFormat/>
    <w:pPr>
      <w:ind w:hanging="108"/>
      <w:spacing w:before="60" w:after="240" w:line="400" w:lineRule="exact"/>
      <w:widowControl/>
    </w:pPr>
    <w:rPr>
      <w:rFonts w:eastAsia="楷体_GB2312"/>
      <w:sz w:val="24"/>
    </w:rPr>
  </w:style>
  <w:style w:type="paragraph" w:styleId="1183" w:customStyle="1">
    <w:name w:val="Table Art"/>
    <w:basedOn w:val="757"/>
    <w:next w:val="757"/>
    <w:uiPriority w:val="0"/>
    <w:qFormat/>
    <w:pPr>
      <w:jc w:val="left"/>
      <w:spacing w:before="40"/>
      <w:widowControl/>
    </w:pPr>
    <w:rPr>
      <w:rFonts w:eastAsia="PMingLiU"/>
      <w:sz w:val="20"/>
      <w:lang w:eastAsia="en-US"/>
    </w:rPr>
  </w:style>
  <w:style w:type="paragraph" w:styleId="1184" w:customStyle="1">
    <w:name w:val="È±Ê¡ÎÄ±¾"/>
    <w:basedOn w:val="757"/>
    <w:uiPriority w:val="0"/>
    <w:qFormat/>
    <w:pPr>
      <w:widowControl/>
    </w:pPr>
    <w:rPr>
      <w:sz w:val="24"/>
    </w:rPr>
  </w:style>
  <w:style w:type="paragraph" w:styleId="1185" w:customStyle="1">
    <w:name w:val="声明标题"/>
    <w:basedOn w:val="757"/>
    <w:uiPriority w:val="0"/>
    <w:qFormat/>
    <w:pPr>
      <w:ind w:hanging="108"/>
      <w:jc w:val="left"/>
      <w:spacing w:before="1680" w:after="600" w:line="400" w:lineRule="exact"/>
      <w:widowControl/>
    </w:pPr>
    <w:rPr>
      <w:rFonts w:ascii="Arial" w:hAnsi="Arial" w:eastAsia="黑体"/>
      <w:b/>
      <w:sz w:val="36"/>
    </w:rPr>
  </w:style>
  <w:style w:type="paragraph" w:styleId="1186" w:customStyle="1">
    <w:name w:val="列表内容"/>
    <w:basedOn w:val="757"/>
    <w:next w:val="757"/>
    <w:uiPriority w:val="0"/>
    <w:qFormat/>
    <w:pPr>
      <w:ind w:firstLine="200"/>
      <w:jc w:val="left"/>
      <w:widowControl/>
      <w:tabs>
        <w:tab w:val="left" w:pos="840" w:leader="none"/>
      </w:tabs>
    </w:pPr>
    <w:rPr>
      <w:sz w:val="18"/>
    </w:rPr>
  </w:style>
  <w:style w:type="paragraph" w:styleId="1187" w:customStyle="1">
    <w:name w:val="目录 51"/>
    <w:basedOn w:val="757"/>
    <w:next w:val="757"/>
    <w:uiPriority w:val="39"/>
    <w:unhideWhenUsed/>
    <w:qFormat/>
    <w:pPr>
      <w:ind w:left="840"/>
      <w:jc w:val="left"/>
    </w:pPr>
    <w:rPr>
      <w:sz w:val="18"/>
      <w:szCs w:val="18"/>
    </w:rPr>
  </w:style>
  <w:style w:type="paragraph" w:styleId="1188" w:customStyle="1">
    <w:name w:val="xl43"/>
    <w:basedOn w:val="757"/>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89" w:customStyle="1">
    <w:name w:val="条目1"/>
    <w:basedOn w:val="757"/>
    <w:uiPriority w:val="0"/>
    <w:qFormat/>
    <w:pPr>
      <w:ind w:left="425" w:hanging="425"/>
      <w:tabs>
        <w:tab w:val="left" w:pos="425" w:leader="none"/>
      </w:tabs>
    </w:pPr>
    <w:rPr>
      <w:rFonts w:ascii="宋体" w:hAnsi="Courier New"/>
      <w:color w:val="000000"/>
      <w:sz w:val="24"/>
    </w:rPr>
  </w:style>
  <w:style w:type="paragraph" w:styleId="1190" w:customStyle="1">
    <w:name w:val="table text"/>
    <w:basedOn w:val="757"/>
    <w:uiPriority w:val="0"/>
    <w:qFormat/>
    <w:pPr>
      <w:jc w:val="left"/>
      <w:spacing w:before="40" w:after="40" w:line="240" w:lineRule="atLeast"/>
      <w:widowControl/>
    </w:pPr>
    <w:rPr>
      <w:color w:val="000000"/>
      <w:sz w:val="20"/>
    </w:rPr>
  </w:style>
  <w:style w:type="paragraph" w:styleId="1191" w:customStyle="1">
    <w:name w:val="目录 31"/>
    <w:basedOn w:val="757"/>
    <w:next w:val="757"/>
    <w:uiPriority w:val="39"/>
    <w:unhideWhenUsed/>
    <w:qFormat/>
    <w:pPr>
      <w:ind w:left="420"/>
      <w:jc w:val="left"/>
    </w:pPr>
    <w:rPr>
      <w:i/>
      <w:iCs/>
      <w:sz w:val="20"/>
    </w:rPr>
  </w:style>
  <w:style w:type="paragraph" w:styleId="1192" w:customStyle="1">
    <w:name w:val="SRS标题2"/>
    <w:basedOn w:val="757"/>
    <w:uiPriority w:val="0"/>
    <w:qFormat/>
    <w:pPr>
      <w:ind w:left="431" w:hanging="431"/>
      <w:jc w:val="left"/>
      <w:spacing w:before="312"/>
      <w:widowControl/>
      <w:tabs>
        <w:tab w:val="left" w:pos="720" w:leader="none"/>
      </w:tabs>
      <w:outlineLvl w:val="1"/>
    </w:pPr>
    <w:rPr>
      <w:b/>
      <w:sz w:val="28"/>
    </w:rPr>
  </w:style>
  <w:style w:type="paragraph" w:styleId="1193" w:customStyle="1">
    <w:name w:val="P3"/>
    <w:uiPriority w:val="0"/>
    <w:qFormat/>
    <w:pPr>
      <w:ind w:left="2880" w:hanging="576"/>
      <w:jc w:val="both"/>
      <w:spacing w:after="240" w:line="0" w:lineRule="atLeast"/>
      <w:widowControl w:val="off"/>
    </w:pPr>
    <w:rPr>
      <w:rFonts w:hint="default" w:ascii="Calibri" w:hAnsi="Calibri" w:eastAsia="全真中明體" w:cs="Times New Roman"/>
      <w:spacing w:val="30"/>
      <w:sz w:val="24"/>
      <w:lang w:val="en-GB" w:eastAsia="zh-TW"/>
    </w:rPr>
  </w:style>
  <w:style w:type="paragraph" w:styleId="1194" w:customStyle="1">
    <w:name w:val="Figure-1"/>
    <w:uiPriority w:val="0"/>
    <w:qFormat/>
    <w:pPr>
      <w:ind w:left="1304"/>
      <w:spacing w:after="156"/>
    </w:pPr>
    <w:rPr>
      <w:rFonts w:hint="default" w:ascii="Arial" w:hAnsi="Arial" w:eastAsia="宋体" w:cs="Times New Roman"/>
      <w:color w:val="000000"/>
      <w:lang w:val="zh-CN"/>
    </w:rPr>
  </w:style>
  <w:style w:type="paragraph" w:styleId="1195" w:customStyle="1">
    <w:name w:val="标题1"/>
    <w:basedOn w:val="760"/>
    <w:uiPriority w:val="0"/>
    <w:qFormat/>
    <w:pPr>
      <w:jc w:val="center"/>
      <w:spacing w:before="78" w:after="78" w:line="300" w:lineRule="auto"/>
    </w:pPr>
    <w:rPr>
      <w:rFonts w:ascii="宋体" w:hAnsi="宋体"/>
      <w:sz w:val="44"/>
    </w:rPr>
  </w:style>
  <w:style w:type="paragraph" w:styleId="1196" w:customStyle="1">
    <w:name w:val="table"/>
    <w:basedOn w:val="757"/>
    <w:uiPriority w:val="0"/>
    <w:qFormat/>
    <w:pPr>
      <w:jc w:val="left"/>
      <w:spacing w:before="100" w:beforeAutospacing="1" w:after="100" w:afterAutospacing="1"/>
      <w:widowControl/>
    </w:pPr>
    <w:rPr>
      <w:rFonts w:ascii="宋体" w:hAnsi="宋体"/>
      <w:sz w:val="24"/>
    </w:rPr>
  </w:style>
  <w:style w:type="paragraph" w:styleId="1197" w:customStyle="1">
    <w:name w:val="纯文本4"/>
    <w:basedOn w:val="757"/>
    <w:uiPriority w:val="0"/>
    <w:qFormat/>
    <w:rPr>
      <w:rFonts w:ascii="宋体" w:hAnsi="Courier New" w:eastAsia="楷体_GB2312"/>
      <w:sz w:val="28"/>
    </w:rPr>
  </w:style>
  <w:style w:type="paragraph" w:styleId="1198" w:customStyle="1">
    <w:name w:val="Txt"/>
    <w:basedOn w:val="1168"/>
    <w:uiPriority w:val="0"/>
    <w:qFormat/>
  </w:style>
  <w:style w:type="paragraph" w:styleId="1199" w:customStyle="1">
    <w:name w:val="正文首行缩进2字"/>
    <w:basedOn w:val="757"/>
    <w:uiPriority w:val="0"/>
    <w:qFormat/>
    <w:pPr>
      <w:ind w:firstLine="567"/>
      <w:spacing w:before="100" w:beforeAutospacing="1" w:after="100" w:afterAutospacing="1"/>
    </w:pPr>
    <w:rPr>
      <w:rFonts w:eastAsia="楷体_GB2312"/>
      <w:sz w:val="28"/>
    </w:rPr>
  </w:style>
  <w:style w:type="paragraph" w:styleId="1200" w:customStyle="1">
    <w:name w:val="卜"/>
    <w:basedOn w:val="757"/>
    <w:uiPriority w:val="0"/>
    <w:qFormat/>
    <w:pPr>
      <w:spacing w:line="480" w:lineRule="exact"/>
    </w:pPr>
    <w:rPr>
      <w:b/>
      <w:sz w:val="24"/>
    </w:rPr>
  </w:style>
  <w:style w:type="paragraph" w:styleId="1201" w:customStyle="1">
    <w:name w:val="正文.表格"/>
    <w:basedOn w:val="757"/>
    <w:next w:val="757"/>
    <w:uiPriority w:val="0"/>
    <w:qFormat/>
    <w:pPr>
      <w:jc w:val="center"/>
      <w:widowControl/>
    </w:pPr>
    <w:rPr>
      <w:szCs w:val="24"/>
    </w:rPr>
  </w:style>
  <w:style w:type="paragraph" w:styleId="1202" w:customStyle="1">
    <w:name w:val="目录 71"/>
    <w:basedOn w:val="757"/>
    <w:next w:val="757"/>
    <w:uiPriority w:val="39"/>
    <w:unhideWhenUsed/>
    <w:qFormat/>
    <w:pPr>
      <w:ind w:left="1260"/>
      <w:jc w:val="left"/>
    </w:pPr>
    <w:rPr>
      <w:sz w:val="18"/>
      <w:szCs w:val="18"/>
    </w:rPr>
  </w:style>
  <w:style w:type="paragraph" w:styleId="1203" w:customStyle="1">
    <w:name w:val="目录 61"/>
    <w:basedOn w:val="757"/>
    <w:next w:val="757"/>
    <w:uiPriority w:val="39"/>
    <w:unhideWhenUsed/>
    <w:qFormat/>
    <w:pPr>
      <w:ind w:left="1050"/>
      <w:jc w:val="left"/>
    </w:pPr>
    <w:rPr>
      <w:sz w:val="18"/>
      <w:szCs w:val="18"/>
    </w:rPr>
  </w:style>
  <w:style w:type="paragraph" w:styleId="1204" w:customStyle="1">
    <w:name w:val="new"/>
    <w:basedOn w:val="757"/>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205" w:customStyle="1">
    <w:name w:val="目录 41"/>
    <w:basedOn w:val="757"/>
    <w:next w:val="757"/>
    <w:uiPriority w:val="39"/>
    <w:unhideWhenUsed/>
    <w:qFormat/>
    <w:pPr>
      <w:ind w:left="630"/>
      <w:jc w:val="left"/>
    </w:pPr>
    <w:rPr>
      <w:sz w:val="18"/>
      <w:szCs w:val="18"/>
    </w:rPr>
  </w:style>
  <w:style w:type="paragraph" w:styleId="1206" w:customStyle="1">
    <w:name w:val="符号列表"/>
    <w:basedOn w:val="757"/>
    <w:uiPriority w:val="0"/>
    <w:qFormat/>
    <w:pPr>
      <w:jc w:val="left"/>
      <w:spacing w:line="440" w:lineRule="exact"/>
      <w:widowControl/>
    </w:pPr>
    <w:rPr>
      <w:rFonts w:ascii="宋体" w:hAnsi="宋体"/>
      <w:color w:val="000000"/>
    </w:rPr>
  </w:style>
  <w:style w:type="paragraph" w:styleId="1207" w:customStyle="1">
    <w:name w:val="纯文本1"/>
    <w:basedOn w:val="757"/>
    <w:uiPriority w:val="0"/>
    <w:qFormat/>
    <w:rPr>
      <w:rFonts w:ascii="宋体" w:hAnsi="Courier New" w:eastAsia="楷体_GB2312"/>
      <w:sz w:val="28"/>
    </w:rPr>
  </w:style>
  <w:style w:type="paragraph" w:styleId="1208" w:customStyle="1">
    <w:name w:val="xl55"/>
    <w:basedOn w:val="7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09" w:customStyle="1">
    <w:name w:val="P1"/>
    <w:uiPriority w:val="0"/>
    <w:qFormat/>
    <w:pPr>
      <w:ind w:left="2304" w:hanging="576"/>
      <w:jc w:val="both"/>
      <w:spacing w:after="240" w:line="0" w:lineRule="atLeast"/>
      <w:widowControl w:val="off"/>
    </w:pPr>
    <w:rPr>
      <w:rFonts w:hint="default" w:ascii="Calibri" w:hAnsi="Calibri" w:eastAsia="全真中明體" w:cs="Times New Roman"/>
      <w:spacing w:val="30"/>
      <w:sz w:val="24"/>
      <w:lang w:val="en-GB" w:eastAsia="zh-TW"/>
    </w:rPr>
  </w:style>
  <w:style w:type="paragraph" w:styleId="1210" w:customStyle="1">
    <w:name w:val="font7"/>
    <w:basedOn w:val="757"/>
    <w:uiPriority w:val="99"/>
    <w:qFormat/>
    <w:pPr>
      <w:jc w:val="left"/>
      <w:spacing w:before="100" w:beforeAutospacing="1" w:after="100" w:afterAutospacing="1"/>
      <w:widowControl/>
    </w:pPr>
    <w:rPr>
      <w:rFonts w:ascii="Verdana" w:hAnsi="Verdana"/>
      <w:sz w:val="20"/>
    </w:rPr>
  </w:style>
  <w:style w:type="paragraph" w:styleId="1211" w:customStyle="1">
    <w:name w:val="title1"/>
    <w:basedOn w:val="757"/>
    <w:uiPriority w:val="0"/>
    <w:qFormat/>
    <w:pPr>
      <w:ind w:left="960" w:hanging="240"/>
      <w:jc w:val="left"/>
      <w:tabs>
        <w:tab w:val="left" w:pos="719" w:leader="none"/>
      </w:tabs>
    </w:pPr>
    <w:rPr>
      <w:rFonts w:ascii="Wingdings" w:hAnsi="Wingdings" w:eastAsia="PMingLiU"/>
      <w:b/>
      <w:sz w:val="24"/>
      <w:lang w:eastAsia="zh-TW"/>
    </w:rPr>
  </w:style>
  <w:style w:type="paragraph" w:styleId="1212" w:customStyle="1">
    <w:name w:val="常规"/>
    <w:basedOn w:val="757"/>
    <w:uiPriority w:val="0"/>
    <w:qFormat/>
    <w:pPr>
      <w:ind w:left="1134" w:firstLine="420"/>
      <w:spacing w:before="100" w:after="100" w:line="300" w:lineRule="auto"/>
    </w:pPr>
    <w:rPr>
      <w:szCs w:val="21"/>
    </w:rPr>
  </w:style>
  <w:style w:type="paragraph" w:styleId="1213" w:customStyle="1">
    <w:name w:val="_Style 28"/>
    <w:basedOn w:val="757"/>
    <w:next w:val="785"/>
    <w:uiPriority w:val="0"/>
    <w:qFormat/>
    <w:rPr>
      <w:rFonts w:ascii="宋体" w:hAnsi="Courier New"/>
    </w:rPr>
  </w:style>
  <w:style w:type="paragraph" w:styleId="1214" w:customStyle="1">
    <w:name w:val="xl24"/>
    <w:basedOn w:val="75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215" w:customStyle="1">
    <w:name w:val="正文首行缩进1"/>
    <w:basedOn w:val="757"/>
    <w:uiPriority w:val="0"/>
    <w:qFormat/>
    <w:pPr>
      <w:ind w:firstLine="425"/>
      <w:spacing w:line="360" w:lineRule="auto"/>
    </w:pPr>
    <w:rPr>
      <w:sz w:val="24"/>
    </w:rPr>
  </w:style>
  <w:style w:type="paragraph" w:styleId="1216" w:customStyle="1">
    <w:name w:val="目录 91"/>
    <w:basedOn w:val="757"/>
    <w:next w:val="757"/>
    <w:uiPriority w:val="39"/>
    <w:unhideWhenUsed/>
    <w:qFormat/>
    <w:pPr>
      <w:ind w:left="1680"/>
      <w:jc w:val="left"/>
    </w:pPr>
    <w:rPr>
      <w:sz w:val="18"/>
      <w:szCs w:val="18"/>
    </w:rPr>
  </w:style>
  <w:style w:type="paragraph" w:styleId="1217" w:customStyle="1">
    <w:name w:val="样式7"/>
    <w:basedOn w:val="757"/>
    <w:uiPriority w:val="0"/>
    <w:qFormat/>
    <w:pPr>
      <w:ind w:firstLine="601"/>
      <w:spacing w:line="440" w:lineRule="atLeast"/>
    </w:pPr>
    <w:rPr>
      <w:rFonts w:ascii="宋体"/>
      <w:sz w:val="24"/>
    </w:rPr>
  </w:style>
  <w:style w:type="paragraph" w:styleId="1218" w:customStyle="1">
    <w:name w:val="word2"/>
    <w:basedOn w:val="757"/>
    <w:uiPriority w:val="0"/>
    <w:qFormat/>
    <w:pPr>
      <w:jc w:val="left"/>
      <w:spacing w:before="100" w:beforeAutospacing="1" w:after="100" w:afterAutospacing="1" w:line="348" w:lineRule="atLeast"/>
      <w:widowControl/>
    </w:pPr>
    <w:rPr>
      <w:rFonts w:ascii="宋体" w:hAnsi="宋体"/>
    </w:rPr>
  </w:style>
  <w:style w:type="paragraph" w:styleId="1219" w:customStyle="1">
    <w:name w:val="xl36"/>
    <w:basedOn w:val="757"/>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20" w:customStyle="1">
    <w:name w:val="目录 21"/>
    <w:basedOn w:val="757"/>
    <w:next w:val="757"/>
    <w:uiPriority w:val="39"/>
    <w:unhideWhenUsed/>
    <w:qFormat/>
    <w:pPr>
      <w:ind w:left="210"/>
      <w:jc w:val="left"/>
      <w:spacing w:line="360" w:lineRule="auto"/>
      <w:tabs>
        <w:tab w:val="right" w:pos="8777" w:leader="dot"/>
      </w:tabs>
    </w:pPr>
    <w:rPr>
      <w:smallCaps/>
      <w:sz w:val="20"/>
    </w:rPr>
  </w:style>
  <w:style w:type="paragraph" w:styleId="1221" w:customStyle="1">
    <w:name w:val="Char1"/>
    <w:basedOn w:val="757"/>
    <w:uiPriority w:val="0"/>
    <w:qFormat/>
    <w:pPr>
      <w:ind w:left="381" w:hanging="360"/>
      <w:tabs>
        <w:tab w:val="left" w:pos="381" w:leader="none"/>
      </w:tabs>
    </w:pPr>
    <w:rPr>
      <w:sz w:val="24"/>
      <w:szCs w:val="24"/>
    </w:rPr>
  </w:style>
  <w:style w:type="paragraph" w:styleId="1222" w:customStyle="1">
    <w:name w:val="_Style 27"/>
    <w:basedOn w:val="757"/>
    <w:next w:val="785"/>
    <w:uiPriority w:val="0"/>
    <w:qFormat/>
    <w:rPr>
      <w:rFonts w:ascii="宋体" w:hAnsi="Courier New"/>
    </w:rPr>
  </w:style>
  <w:style w:type="paragraph" w:styleId="1223" w:customStyle="1">
    <w:name w:val="List Bullet 1"/>
    <w:basedOn w:val="760"/>
    <w:uiPriority w:val="0"/>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224" w:customStyle="1">
    <w:name w:val="样式 图表 + 段后: 1 行"/>
    <w:basedOn w:val="757"/>
    <w:uiPriority w:val="0"/>
    <w:qFormat/>
    <w:pPr>
      <w:jc w:val="center"/>
      <w:keepNext/>
      <w:spacing w:after="312"/>
    </w:pPr>
    <w:rPr>
      <w:rFonts w:ascii="Arial" w:hAnsi="Arial"/>
      <w:b/>
      <w:color w:val="333333"/>
      <w:sz w:val="24"/>
    </w:rPr>
  </w:style>
  <w:style w:type="paragraph" w:styleId="1225" w:customStyle="1">
    <w:name w:val="xl39"/>
    <w:basedOn w:val="75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226" w:customStyle="1">
    <w:name w:val="xl37"/>
    <w:basedOn w:val="757"/>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27" w:customStyle="1">
    <w:name w:val="Char"/>
    <w:basedOn w:val="757"/>
    <w:uiPriority w:val="0"/>
    <w:qFormat/>
    <w:pPr>
      <w:ind w:left="381" w:hanging="360"/>
      <w:tabs>
        <w:tab w:val="left" w:pos="381" w:leader="none"/>
      </w:tabs>
    </w:pPr>
    <w:rPr>
      <w:sz w:val="24"/>
      <w:szCs w:val="24"/>
    </w:rPr>
  </w:style>
  <w:style w:type="paragraph" w:styleId="1228" w:customStyle="1">
    <w:name w:val="xl42"/>
    <w:basedOn w:val="757"/>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9" w:customStyle="1">
    <w:name w:val="标题5"/>
    <w:basedOn w:val="757"/>
    <w:uiPriority w:val="0"/>
    <w:qFormat/>
    <w:pPr>
      <w:spacing w:line="360" w:lineRule="auto"/>
    </w:pPr>
    <w:rPr>
      <w:sz w:val="24"/>
    </w:rPr>
  </w:style>
  <w:style w:type="paragraph" w:styleId="1230" w:customStyle="1">
    <w:name w:val="Char1 Char Char Char Char Char Char"/>
    <w:basedOn w:val="757"/>
    <w:uiPriority w:val="0"/>
    <w:qFormat/>
    <w:rPr>
      <w:rFonts w:ascii="Tahoma" w:hAnsi="Tahoma"/>
      <w:sz w:val="24"/>
    </w:rPr>
  </w:style>
  <w:style w:type="paragraph" w:styleId="1231" w:customStyle="1">
    <w:name w:val="无缩进正文"/>
    <w:basedOn w:val="757"/>
    <w:uiPriority w:val="0"/>
    <w:qFormat/>
  </w:style>
  <w:style w:type="paragraph" w:styleId="1232" w:customStyle="1">
    <w:name w:val="样式1"/>
    <w:basedOn w:val="757"/>
    <w:next w:val="758"/>
    <w:uiPriority w:val="99"/>
    <w:qFormat/>
    <w:pPr>
      <w:jc w:val="center"/>
    </w:pPr>
    <w:rPr>
      <w:rFonts w:ascii="Arial" w:hAnsi="Arial"/>
      <w:sz w:val="24"/>
    </w:rPr>
  </w:style>
  <w:style w:type="paragraph" w:styleId="1233" w:customStyle="1">
    <w:name w:val="项目符号2"/>
    <w:basedOn w:val="757"/>
    <w:uiPriority w:val="0"/>
    <w:qFormat/>
    <w:pPr>
      <w:spacing w:line="360" w:lineRule="auto"/>
    </w:pPr>
    <w:rPr>
      <w:sz w:val="24"/>
    </w:rPr>
  </w:style>
  <w:style w:type="paragraph" w:styleId="1234" w:customStyle="1">
    <w:name w:val="规范正文"/>
    <w:basedOn w:val="757"/>
    <w:uiPriority w:val="0"/>
    <w:qFormat/>
    <w:pPr>
      <w:ind w:left="480"/>
      <w:spacing w:line="360" w:lineRule="auto"/>
    </w:pPr>
    <w:rPr>
      <w:sz w:val="24"/>
    </w:rPr>
  </w:style>
  <w:style w:type="paragraph" w:styleId="1235" w:customStyle="1">
    <w:name w:val="Char Char Char Char Char Char Char Char Char Char Char Char Char Char Char Char"/>
    <w:basedOn w:val="757"/>
    <w:uiPriority w:val="0"/>
    <w:qFormat/>
    <w:rPr>
      <w:rFonts w:ascii="Tahoma" w:hAnsi="Tahoma" w:eastAsia="仿宋_GB2312"/>
      <w:color w:val="000000"/>
      <w:sz w:val="24"/>
    </w:rPr>
  </w:style>
  <w:style w:type="paragraph" w:styleId="1236" w:customStyle="1">
    <w:name w:val="表格"/>
    <w:basedOn w:val="757"/>
    <w:uiPriority w:val="0"/>
    <w:qFormat/>
    <w:pPr>
      <w:ind w:firstLine="42"/>
    </w:pPr>
    <w:rPr>
      <w:rFonts w:ascii="宋体" w:hAnsi="宋体"/>
      <w:sz w:val="20"/>
    </w:rPr>
  </w:style>
  <w:style w:type="paragraph" w:styleId="1237" w:customStyle="1">
    <w:name w:val="Normal 12 after"/>
    <w:basedOn w:val="757"/>
    <w:uiPriority w:val="0"/>
    <w:qFormat/>
    <w:pPr>
      <w:ind w:left="720"/>
      <w:spacing w:after="120"/>
      <w:widowControl/>
    </w:pPr>
    <w:rPr>
      <w:rFonts w:ascii="Century Schoolbook" w:hAnsi="Century Schoolbook"/>
      <w:color w:val="000000"/>
      <w:sz w:val="20"/>
    </w:rPr>
  </w:style>
  <w:style w:type="paragraph" w:styleId="1238" w:customStyle="1">
    <w:name w:val="font5"/>
    <w:basedOn w:val="757"/>
    <w:uiPriority w:val="0"/>
    <w:qFormat/>
    <w:pPr>
      <w:jc w:val="left"/>
      <w:spacing w:before="100" w:beforeAutospacing="1" w:after="100" w:afterAutospacing="1"/>
      <w:widowControl/>
    </w:pPr>
    <w:rPr>
      <w:rFonts w:hint="eastAsia" w:ascii="宋体" w:hAnsi="宋体"/>
      <w:sz w:val="18"/>
    </w:rPr>
  </w:style>
  <w:style w:type="paragraph" w:styleId="1239" w:customStyle="1">
    <w:name w:val="xl30"/>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40" w:customStyle="1">
    <w:name w:val="xl38"/>
    <w:basedOn w:val="757"/>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41" w:customStyle="1">
    <w:name w:val="Table Text"/>
    <w:basedOn w:val="757"/>
    <w:next w:val="757"/>
    <w:uiPriority w:val="0"/>
    <w:qFormat/>
    <w:pPr>
      <w:jc w:val="left"/>
      <w:keepNext/>
      <w:spacing w:before="40" w:after="40"/>
      <w:widowControl/>
    </w:pPr>
    <w:rPr>
      <w:rFonts w:ascii="Arial" w:hAnsi="Arial" w:eastAsia="PMingLiU"/>
      <w:sz w:val="18"/>
    </w:rPr>
  </w:style>
  <w:style w:type="paragraph" w:styleId="1242" w:customStyle="1">
    <w:name w:val="BodyText1"/>
    <w:basedOn w:val="757"/>
    <w:uiPriority w:val="0"/>
    <w:qFormat/>
    <w:pPr>
      <w:spacing w:before="120" w:after="120" w:line="360" w:lineRule="auto"/>
      <w:widowControl/>
    </w:pPr>
    <w:rPr>
      <w:rFonts w:ascii="宋体"/>
      <w:sz w:val="28"/>
    </w:rPr>
  </w:style>
  <w:style w:type="paragraph" w:styleId="1243" w:customStyle="1">
    <w:name w:val="xl35"/>
    <w:basedOn w:val="757"/>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44" w:customStyle="1">
    <w:name w:val="表格标题"/>
    <w:basedOn w:val="1155"/>
    <w:uiPriority w:val="0"/>
    <w:qFormat/>
    <w:pPr>
      <w:ind w:firstLine="0"/>
      <w:spacing w:before="0" w:after="0" w:line="240" w:lineRule="atLeast"/>
      <w:widowControl w:val="off"/>
    </w:pPr>
    <w:rPr>
      <w:rFonts w:ascii="Times New Roman" w:hAnsi="Times New Roman" w:eastAsia="楷体_GB2312"/>
      <w:b/>
    </w:rPr>
  </w:style>
  <w:style w:type="paragraph" w:styleId="1245" w:customStyle="1">
    <w:name w:val="xl29"/>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46" w:customStyle="1">
    <w:name w:val="xl40"/>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47" w:customStyle="1">
    <w:name w:val="xl33"/>
    <w:basedOn w:val="75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48" w:customStyle="1">
    <w:name w:val="正文 New New New New"/>
    <w:uiPriority w:val="0"/>
    <w:qFormat/>
    <w:pPr>
      <w:jc w:val="both"/>
      <w:widowControl w:val="off"/>
    </w:pPr>
    <w:rPr>
      <w:rFonts w:hint="default" w:ascii="Calibri" w:hAnsi="Calibri" w:eastAsia="宋体" w:cs="Times New Roman"/>
      <w:sz w:val="21"/>
      <w:szCs w:val="24"/>
    </w:rPr>
  </w:style>
  <w:style w:type="paragraph" w:styleId="1249" w:customStyle="1">
    <w:name w:val="xl27"/>
    <w:basedOn w:val="75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50" w:customStyle="1">
    <w:name w:val="xl31"/>
    <w:basedOn w:val="7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51" w:customStyle="1">
    <w:name w:val="小标题"/>
    <w:basedOn w:val="757"/>
    <w:uiPriority w:val="0"/>
    <w:qFormat/>
    <w:pPr>
      <w:spacing w:line="360" w:lineRule="auto"/>
    </w:pPr>
    <w:rPr>
      <w:rFonts w:ascii="宋体" w:hAnsi="Arial"/>
      <w:b/>
    </w:rPr>
  </w:style>
  <w:style w:type="paragraph" w:styleId="1252" w:customStyle="1">
    <w:name w:val="表正文"/>
    <w:basedOn w:val="757"/>
    <w:next w:val="757"/>
    <w:uiPriority w:val="0"/>
    <w:qFormat/>
    <w:rPr>
      <w:sz w:val="24"/>
    </w:rPr>
  </w:style>
  <w:style w:type="paragraph" w:styleId="1253" w:customStyle="1">
    <w:name w:val="cntrt"/>
    <w:basedOn w:val="757"/>
    <w:uiPriority w:val="0"/>
    <w:qFormat/>
    <w:pPr>
      <w:jc w:val="left"/>
      <w:widowControl/>
    </w:pPr>
    <w:rPr>
      <w:rFonts w:ascii="Arial" w:hAnsi="Arial" w:cs="Arial"/>
      <w:sz w:val="20"/>
      <w:lang w:val="en-AU"/>
    </w:rPr>
  </w:style>
  <w:style w:type="paragraph" w:styleId="1254" w:customStyle="1">
    <w:name w:val="_Style 30"/>
    <w:basedOn w:val="757"/>
    <w:next w:val="785"/>
    <w:uiPriority w:val="0"/>
    <w:qFormat/>
    <w:rPr>
      <w:rFonts w:ascii="宋体" w:hAnsi="Courier New"/>
    </w:rPr>
  </w:style>
  <w:style w:type="paragraph" w:styleId="1255" w:customStyle="1">
    <w:name w:val="xl26"/>
    <w:basedOn w:val="75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56" w:customStyle="1">
    <w:name w:val="+标题1"/>
    <w:basedOn w:val="758"/>
    <w:uiPriority w:val="0"/>
    <w:qFormat/>
    <w:pPr>
      <w:jc w:val="center"/>
      <w:keepNext w:val="0"/>
      <w:pageBreakBefore/>
      <w:spacing w:before="240" w:after="240" w:line="360" w:lineRule="auto"/>
      <w:tabs>
        <w:tab w:val="left" w:pos="405" w:leader="none"/>
      </w:tabs>
    </w:pPr>
    <w:rPr>
      <w:rFonts w:ascii="宋体" w:hAnsi="宋体"/>
      <w:color w:val="000000"/>
      <w:sz w:val="36"/>
    </w:rPr>
  </w:style>
  <w:style w:type="paragraph" w:styleId="1257" w:customStyle="1">
    <w:name w:val="SRS标题1"/>
    <w:basedOn w:val="757"/>
    <w:uiPriority w:val="0"/>
    <w:qFormat/>
    <w:pPr>
      <w:ind w:left="432" w:hanging="432"/>
      <w:jc w:val="left"/>
      <w:spacing w:before="468" w:after="156"/>
      <w:widowControl/>
      <w:tabs>
        <w:tab w:val="left" w:pos="432" w:leader="none"/>
      </w:tabs>
      <w:outlineLvl w:val="0"/>
    </w:pPr>
    <w:rPr>
      <w:b/>
      <w:sz w:val="32"/>
    </w:rPr>
  </w:style>
  <w:style w:type="paragraph" w:styleId="1258" w:customStyle="1">
    <w:name w:val="xl25"/>
    <w:basedOn w:val="75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259" w:customStyle="1">
    <w:name w:val="样式SZA"/>
    <w:basedOn w:val="778"/>
    <w:uiPriority w:val="0"/>
    <w:qFormat/>
    <w:pPr>
      <w:ind w:left="660" w:hanging="660"/>
      <w:jc w:val="left"/>
      <w:spacing w:after="220" w:line="220" w:lineRule="atLeast"/>
      <w:widowControl/>
      <w:tabs>
        <w:tab w:val="left" w:pos="660" w:leader="none"/>
      </w:tabs>
    </w:pPr>
    <w:rPr>
      <w:sz w:val="21"/>
    </w:rPr>
  </w:style>
  <w:style w:type="character" w:styleId="1260" w:customStyle="1">
    <w:name w:val="正文缩进 字符1"/>
    <w:uiPriority w:val="0"/>
    <w:qFormat/>
    <w:rPr>
      <w:rFonts w:ascii="Calibri" w:hAnsi="Calibri" w:eastAsia="楷体_GB2312"/>
      <w:sz w:val="24"/>
    </w:rPr>
  </w:style>
  <w:style w:type="table" w:styleId="1261" w:customStyle="1">
    <w:name w:val="网格型1"/>
    <w:basedOn w:val="768"/>
    <w:uiPriority w:val="59"/>
    <w:qFormat/>
    <w:tblPr/>
  </w:style>
  <w:style w:type="character" w:styleId="1262" w:customStyle="1">
    <w:name w:val="正文文本 2 字符"/>
    <w:link w:val="803"/>
    <w:uiPriority w:val="0"/>
    <w:qFormat/>
    <w:rPr>
      <w:rFonts w:ascii="宋体" w:hAnsi="宋体"/>
      <w:sz w:val="24"/>
    </w:rPr>
  </w:style>
  <w:style w:type="character" w:styleId="1263" w:customStyle="1">
    <w:name w:val="正文文本首行缩进 2 字符"/>
    <w:basedOn w:val="1108"/>
    <w:link w:val="807"/>
    <w:uiPriority w:val="99"/>
    <w:semiHidden/>
    <w:qFormat/>
    <w:rPr>
      <w:rFonts w:ascii="Calibri" w:hAnsi="Calibri"/>
      <w:sz w:val="21"/>
    </w:rPr>
  </w:style>
  <w:style w:type="paragraph" w:styleId="1264" w:customStyle="1">
    <w:name w:val="Default Text"/>
    <w:basedOn w:val="757"/>
    <w:uiPriority w:val="99"/>
    <w:qFormat/>
    <w:pPr>
      <w:jc w:val="left"/>
      <w:widowControl/>
    </w:pPr>
    <w:rPr>
      <w:rFonts w:ascii="Times New Roman" w:hAnsi="Times New Roman" w:eastAsia="PMingLiU"/>
      <w:sz w:val="24"/>
      <w:lang w:eastAsia="zh-TW"/>
    </w:rPr>
  </w:style>
  <w:style w:type="paragraph" w:styleId="1265" w:customStyle="1">
    <w:name w:val="Default"/>
    <w:uiPriority w:val="99"/>
    <w:qFormat/>
    <w:pPr>
      <w:widowControl w:val="off"/>
    </w:pPr>
    <w:rPr>
      <w:rFonts w:hint="default" w:ascii="黑体" w:hAnsi="Calibri" w:eastAsia="黑体" w:cs="黑体"/>
      <w:color w:val="000000"/>
      <w:sz w:val="24"/>
      <w:szCs w:val="24"/>
    </w:rPr>
  </w:style>
  <w:style w:type="character" w:styleId="1266" w:customStyle="1">
    <w:name w:val="无间隔 字符"/>
    <w:basedOn w:val="767"/>
    <w:link w:val="968"/>
    <w:uiPriority w:val="1"/>
    <w:qFormat/>
    <w:rPr>
      <w:rFonts w:ascii="Calibri" w:hAnsi="Calibri"/>
    </w:rPr>
  </w:style>
  <w:style w:type="paragraph" w:styleId="1267" w:customStyle="1">
    <w:name w:val="TOC 标题2"/>
    <w:basedOn w:val="758"/>
    <w:next w:val="757"/>
    <w:uiPriority w:val="39"/>
    <w:unhideWhenUsed/>
    <w:qFormat/>
    <w:pPr>
      <w:keepLines/>
      <w:spacing w:before="240" w:line="259" w:lineRule="auto"/>
      <w:widowControl/>
      <w:outlineLvl w:val="9"/>
    </w:pPr>
    <w:rPr>
      <w:rFonts w:asciiTheme="majorHAnsi" w:hAnsiTheme="majorHAnsi" w:eastAsiaTheme="majorEastAsia" w:cstheme="majorBidi"/>
      <w:color w:val="376092" w:themeColor="accent1" w:themeShade="BF"/>
      <w:sz w:val="32"/>
      <w:szCs w:val="32"/>
      <w:lang w:eastAsia="en-US"/>
    </w:rPr>
  </w:style>
  <w:style w:type="paragraph" w:styleId="1268" w:customStyle="1">
    <w:name w:val="纯文本3"/>
    <w:basedOn w:val="757"/>
    <w:uiPriority w:val="0"/>
    <w:qFormat/>
    <w:pPr>
      <w:jc w:val="left"/>
      <w:widowControl/>
    </w:pPr>
    <w:rPr>
      <w:rFonts w:ascii="宋体" w:hAnsi="Courier New" w:eastAsia="楷体_GB2312"/>
      <w:sz w:val="26"/>
    </w:rPr>
  </w:style>
  <w:style w:type="character" w:styleId="1269" w:customStyle="1">
    <w:name w:val="正文文本 字符"/>
    <w:basedOn w:val="767"/>
    <w:link w:val="778"/>
    <w:uiPriority w:val="99"/>
    <w:qFormat/>
    <w:rPr>
      <w:rFonts w:ascii="Calibri" w:hAnsi="Calibri"/>
      <w:sz w:val="28"/>
    </w:rPr>
  </w:style>
  <w:style w:type="paragraph" w:styleId="1270" w:customStyle="1">
    <w:name w:val="Table Paragraph"/>
    <w:basedOn w:val="757"/>
    <w:uiPriority w:val="1"/>
    <w:qFormat/>
    <w:pPr>
      <w:jc w:val="left"/>
    </w:pPr>
    <w:rPr>
      <w:rFonts w:ascii="宋体" w:hAnsi="宋体" w:cs="宋体"/>
      <w:sz w:val="22"/>
      <w:szCs w:val="22"/>
    </w:rPr>
  </w:style>
  <w:style w:type="character" w:styleId="1271" w:customStyle="1">
    <w:name w:val="正文文本缩进 3 字符"/>
    <w:basedOn w:val="767"/>
    <w:link w:val="799"/>
    <w:uiPriority w:val="99"/>
    <w:qFormat/>
    <w:rPr>
      <w:rFonts w:ascii="Calibri" w:hAnsi="Calibri"/>
      <w:sz w:val="24"/>
    </w:rPr>
  </w:style>
  <w:style w:type="character" w:styleId="1272" w:customStyle="1">
    <w:name w:val="批注主题 字符"/>
    <w:basedOn w:val="1102"/>
    <w:link w:val="806"/>
    <w:uiPriority w:val="99"/>
    <w:qFormat/>
    <w:rPr>
      <w:rFonts w:ascii="Calibri" w:hAnsi="Calibri"/>
      <w:b/>
      <w:bCs/>
      <w:sz w:val="21"/>
    </w:rPr>
  </w:style>
  <w:style w:type="paragraph" w:styleId="1273" w:customStyle="1">
    <w:name w:val="样式 宋体 五号 行距: 单倍行距"/>
    <w:basedOn w:val="757"/>
    <w:uiPriority w:val="99"/>
    <w:qFormat/>
    <w:pPr>
      <w:jc w:val="left"/>
    </w:pPr>
    <w:rPr>
      <w:rFonts w:ascii="宋体" w:hAnsi="宋体" w:cs="宋体"/>
    </w:rPr>
  </w:style>
  <w:style w:type="paragraph" w:styleId="1274" w:customStyle="1">
    <w:name w:val="样式 标题 2 + 宋体 五号 非加粗 黑色"/>
    <w:basedOn w:val="759"/>
    <w:uiPriority w:val="99"/>
    <w:qFormat/>
    <w:pPr>
      <w:ind w:left="240" w:firstLine="0"/>
      <w:keepLines/>
      <w:keepNext/>
      <w:spacing w:before="260" w:after="260" w:line="416" w:lineRule="atLeast"/>
      <w:widowControl w:val="off"/>
      <w:tabs>
        <w:tab w:val="clear" w:pos="360" w:leader="none"/>
      </w:tabs>
    </w:pPr>
    <w:rPr>
      <w:rFonts w:ascii="宋体" w:hAnsi="宋体" w:eastAsia="宋体"/>
      <w:color w:val="000000"/>
      <w:sz w:val="21"/>
      <w:szCs w:val="32"/>
      <w:lang w:eastAsia="zh-CN"/>
    </w:rPr>
  </w:style>
  <w:style w:type="paragraph" w:styleId="1275" w:customStyle="1">
    <w:name w:val="样式 标题 3h3H3sect1.2.3 + 五号 段前: 6 磅 段后: 6 磅 行距: 单倍行距"/>
    <w:basedOn w:val="760"/>
    <w:uiPriority w:val="99"/>
    <w:qFormat/>
    <w:pPr>
      <w:jc w:val="left"/>
      <w:spacing w:before="120" w:after="120" w:line="240" w:lineRule="auto"/>
    </w:pPr>
    <w:rPr>
      <w:rFonts w:ascii="Times New Roman" w:hAnsi="Times New Roman" w:cs="宋体"/>
      <w:bCs/>
      <w:sz w:val="21"/>
    </w:rPr>
  </w:style>
  <w:style w:type="paragraph" w:styleId="1276" w:customStyle="1">
    <w:name w:val="样式 标题 4 + 段前: 5 磅 段后: 5 磅 行距: 单倍行距"/>
    <w:basedOn w:val="761"/>
    <w:uiPriority w:val="99"/>
    <w:qFormat/>
    <w:pPr>
      <w:numPr>
        <w:ilvl w:val="3"/>
        <w:numId w:val="1"/>
      </w:numPr>
      <w:jc w:val="left"/>
      <w:keepLines/>
      <w:keepNext/>
      <w:spacing w:before="100" w:after="100"/>
    </w:pPr>
    <w:rPr>
      <w:rFonts w:ascii="Arial" w:hAnsi="Arial" w:eastAsia="黑体" w:cs="宋体"/>
      <w:b/>
      <w:bCs/>
      <w:color w:val="auto"/>
      <w:sz w:val="28"/>
      <w:u w:val="none"/>
    </w:rPr>
  </w:style>
  <w:style w:type="paragraph" w:styleId="1277" w:customStyle="1">
    <w:name w:val="样式 标题 1 + 四号 居中 段前: 12 磅 段后: 12 磅 行距: 单倍行距"/>
    <w:basedOn w:val="758"/>
    <w:uiPriority w:val="99"/>
    <w:qFormat/>
    <w:pPr>
      <w:ind w:firstLine="288"/>
      <w:jc w:val="center"/>
      <w:keepLines/>
      <w:spacing w:before="240" w:after="240" w:line="240" w:lineRule="auto"/>
    </w:pPr>
    <w:rPr>
      <w:rFonts w:ascii="宋体" w:hAnsi="宋体" w:cs="宋体"/>
      <w:bCs/>
    </w:rPr>
  </w:style>
  <w:style w:type="paragraph" w:styleId="1278" w:customStyle="1">
    <w:name w:val="样式 样式 样式 样式 标题 2 + 宋体 五号 非加粗 黑色 + 段前: 6 磅 段后: 0 磅 行距: 单倍行距 + 段前:..."/>
    <w:basedOn w:val="757"/>
    <w:uiPriority w:val="99"/>
    <w:qFormat/>
    <w:pPr>
      <w:numPr>
        <w:ilvl w:val="1"/>
        <w:numId w:val="2"/>
      </w:numPr>
      <w:jc w:val="left"/>
      <w:keepLines/>
      <w:keepNext/>
      <w:spacing w:before="240"/>
      <w:tabs>
        <w:tab w:val="left" w:pos="1260" w:leader="none"/>
      </w:tabs>
      <w:outlineLvl w:val="1"/>
    </w:pPr>
    <w:rPr>
      <w:rFonts w:ascii="宋体" w:hAnsi="宋体" w:cs="宋体"/>
      <w:b/>
      <w:bCs/>
      <w:color w:val="000000"/>
    </w:rPr>
  </w:style>
  <w:style w:type="paragraph" w:styleId="1279" w:customStyle="1">
    <w:name w:val="font9"/>
    <w:basedOn w:val="757"/>
    <w:uiPriority w:val="99"/>
    <w:qFormat/>
    <w:pPr>
      <w:jc w:val="left"/>
      <w:spacing w:before="100" w:beforeAutospacing="1" w:after="100" w:afterAutospacing="1"/>
      <w:widowControl/>
    </w:pPr>
    <w:rPr>
      <w:rFonts w:ascii="宋体" w:hAnsi="宋体" w:cs="宋体"/>
      <w:sz w:val="20"/>
    </w:rPr>
  </w:style>
  <w:style w:type="paragraph" w:styleId="1280" w:customStyle="1">
    <w:name w:val="xl65"/>
    <w:basedOn w:val="757"/>
    <w:uiPriority w:val="0"/>
    <w:qFormat/>
    <w:pPr>
      <w:jc w:val="center"/>
      <w:spacing w:before="100" w:beforeAutospacing="1" w:after="100" w:afterAutospacing="1"/>
      <w:shd w:val="clear" w:color="auto" w:fill="d9d9d9"/>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1" w:customStyle="1">
    <w:name w:val="xl66"/>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2" w:customStyle="1">
    <w:name w:val="xl67"/>
    <w:basedOn w:val="757"/>
    <w:uiPriority w:val="0"/>
    <w:qFormat/>
    <w:pPr>
      <w:jc w:val="left"/>
      <w:spacing w:before="100" w:beforeAutospacing="1" w:after="100" w:afterAutospacing="1"/>
      <w:widowControl/>
    </w:pPr>
    <w:rPr>
      <w:rFonts w:ascii="宋体" w:hAnsi="宋体" w:cs="宋体"/>
      <w:sz w:val="20"/>
    </w:rPr>
  </w:style>
  <w:style w:type="paragraph" w:styleId="1283" w:customStyle="1">
    <w:name w:val="2级标题"/>
    <w:uiPriority w:val="99"/>
    <w:qFormat/>
    <w:pPr>
      <w:ind w:firstLine="442"/>
      <w:jc w:val="both"/>
      <w:spacing w:before="85" w:after="28" w:line="440" w:lineRule="atLeast"/>
      <w:widowControl w:val="off"/>
    </w:pPr>
    <w:rPr>
      <w:rFonts w:hint="default" w:ascii="黑体" w:hAnsi="Times New Roman" w:eastAsia="黑体" w:cs="Times New Roman"/>
      <w:sz w:val="22"/>
      <w:szCs w:val="22"/>
    </w:rPr>
  </w:style>
  <w:style w:type="paragraph" w:styleId="1284" w:customStyle="1">
    <w:name w:val="TOC 标题21"/>
    <w:basedOn w:val="758"/>
    <w:next w:val="757"/>
    <w:uiPriority w:val="39"/>
    <w:semiHidden/>
    <w:qFormat/>
    <w:pPr>
      <w:keepLines/>
      <w:spacing w:before="480" w:line="276" w:lineRule="auto"/>
      <w:widowControl/>
      <w:outlineLvl w:val="9"/>
    </w:pPr>
    <w:rPr>
      <w:rFonts w:ascii="Cambria" w:hAnsi="Cambria"/>
      <w:bCs/>
      <w:color w:val="365f91"/>
      <w:szCs w:val="28"/>
    </w:rPr>
  </w:style>
  <w:style w:type="paragraph" w:styleId="1285" w:customStyle="1">
    <w:name w:val="表格首行"/>
    <w:basedOn w:val="757"/>
    <w:uiPriority w:val="99"/>
    <w:qFormat/>
    <w:pPr>
      <w:jc w:val="center"/>
    </w:pPr>
    <w:rPr>
      <w:rFonts w:ascii="宋体" w:hAnsi="宋体"/>
      <w:szCs w:val="24"/>
    </w:rPr>
  </w:style>
  <w:style w:type="paragraph" w:styleId="1286" w:customStyle="1">
    <w:name w:val="font8"/>
    <w:basedOn w:val="757"/>
    <w:uiPriority w:val="99"/>
    <w:qFormat/>
    <w:pPr>
      <w:jc w:val="left"/>
      <w:spacing w:before="100" w:beforeAutospacing="1" w:after="100" w:afterAutospacing="1"/>
      <w:widowControl/>
    </w:pPr>
    <w:rPr>
      <w:rFonts w:ascii="Times New Roman" w:hAnsi="Times New Roman"/>
      <w:sz w:val="22"/>
      <w:szCs w:val="22"/>
    </w:rPr>
  </w:style>
  <w:style w:type="paragraph" w:styleId="1287" w:customStyle="1">
    <w:name w:val="font10"/>
    <w:basedOn w:val="757"/>
    <w:uiPriority w:val="99"/>
    <w:qFormat/>
    <w:pPr>
      <w:jc w:val="left"/>
      <w:spacing w:before="100" w:beforeAutospacing="1" w:after="100" w:afterAutospacing="1"/>
      <w:widowControl/>
    </w:pPr>
    <w:rPr>
      <w:rFonts w:ascii="宋体" w:hAnsi="宋体" w:cs="宋体"/>
      <w:sz w:val="18"/>
      <w:szCs w:val="18"/>
    </w:rPr>
  </w:style>
  <w:style w:type="paragraph" w:styleId="1288" w:customStyle="1">
    <w:name w:val="xl63"/>
    <w:basedOn w:val="757"/>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1289" w:customStyle="1">
    <w:name w:val="xl64"/>
    <w:basedOn w:val="757"/>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0" w:customStyle="1">
    <w:name w:val="xl68"/>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1" w:customStyle="1">
    <w:name w:val="xl69"/>
    <w:basedOn w:val="757"/>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2" w:customStyle="1">
    <w:name w:val="xl70"/>
    <w:basedOn w:val="757"/>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3" w:customStyle="1">
    <w:name w:val="Char Char3 Char Char"/>
    <w:basedOn w:val="757"/>
    <w:uiPriority w:val="99"/>
    <w:qFormat/>
    <w:rPr>
      <w:rFonts w:ascii="Times New Roman" w:hAnsi="Times New Roman"/>
    </w:rPr>
  </w:style>
  <w:style w:type="paragraph" w:styleId="1294" w:customStyle="1">
    <w:name w:val="修订1"/>
    <w:uiPriority w:val="99"/>
    <w:semiHidden/>
    <w:qFormat/>
    <w:rPr>
      <w:rFonts w:hint="default" w:ascii="Times New Roman" w:hAnsi="Times New Roman" w:eastAsia="宋体" w:cs="Times New Roman"/>
      <w:sz w:val="21"/>
      <w:szCs w:val="24"/>
    </w:rPr>
  </w:style>
  <w:style w:type="paragraph" w:styleId="1295" w:customStyle="1">
    <w:name w:val="xl71"/>
    <w:basedOn w:val="757"/>
    <w:uiPriority w:val="0"/>
    <w:qFormat/>
    <w:pPr>
      <w:jc w:val="left"/>
      <w:spacing w:before="100" w:beforeAutospacing="1" w:after="100" w:afterAutospacing="1"/>
      <w:widowControl/>
      <w:pBdr>
        <w:right w:val="single" w:color="auto" w:sz="8" w:space="0"/>
      </w:pBdr>
    </w:pPr>
    <w:rPr>
      <w:rFonts w:ascii="宋体" w:hAnsi="宋体" w:cs="宋体"/>
      <w:sz w:val="24"/>
      <w:szCs w:val="24"/>
    </w:rPr>
  </w:style>
  <w:style w:type="paragraph" w:styleId="1296" w:customStyle="1">
    <w:name w:val="xl72"/>
    <w:basedOn w:val="75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 w:val="20"/>
    </w:rPr>
  </w:style>
  <w:style w:type="paragraph" w:styleId="1297" w:customStyle="1">
    <w:name w:val="xl73"/>
    <w:basedOn w:val="75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 w:val="20"/>
    </w:rPr>
  </w:style>
  <w:style w:type="paragraph" w:styleId="1298" w:customStyle="1">
    <w:name w:val="xl74"/>
    <w:basedOn w:val="757"/>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24"/>
      <w:szCs w:val="24"/>
    </w:rPr>
  </w:style>
  <w:style w:type="paragraph" w:styleId="1299" w:customStyle="1">
    <w:name w:val="xl75"/>
    <w:basedOn w:val="757"/>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4"/>
      <w:szCs w:val="24"/>
    </w:rPr>
  </w:style>
  <w:style w:type="paragraph" w:styleId="1300" w:customStyle="1">
    <w:name w:val="xl76"/>
    <w:basedOn w:val="757"/>
    <w:uiPriority w:val="0"/>
    <w:qFormat/>
    <w:pPr>
      <w:jc w:val="left"/>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4"/>
      <w:szCs w:val="24"/>
    </w:rPr>
  </w:style>
  <w:style w:type="paragraph" w:styleId="1301" w:customStyle="1">
    <w:name w:val="xl77"/>
    <w:basedOn w:val="757"/>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24"/>
      <w:szCs w:val="24"/>
    </w:rPr>
  </w:style>
  <w:style w:type="character" w:styleId="1302" w:customStyle="1">
    <w:name w:val="标题 1 Char1"/>
    <w:uiPriority w:val="0"/>
    <w:qFormat/>
    <w:rPr>
      <w:b/>
      <w:bCs/>
      <w:sz w:val="44"/>
      <w:szCs w:val="44"/>
    </w:rPr>
  </w:style>
  <w:style w:type="character" w:styleId="1303" w:customStyle="1">
    <w:name w:val="标题 2 Char1"/>
    <w:uiPriority w:val="0"/>
    <w:semiHidden/>
    <w:qFormat/>
    <w:rPr>
      <w:rFonts w:hint="default" w:ascii="Cambria" w:hAnsi="Cambria" w:eastAsia="宋体" w:cs="Times New Roman"/>
      <w:b/>
      <w:bCs/>
      <w:sz w:val="32"/>
      <w:szCs w:val="32"/>
    </w:rPr>
  </w:style>
  <w:style w:type="character" w:styleId="1304" w:customStyle="1">
    <w:name w:val="标题 3 Char1"/>
    <w:uiPriority w:val="0"/>
    <w:semiHidden/>
    <w:qFormat/>
    <w:rPr>
      <w:b/>
      <w:bCs/>
      <w:sz w:val="32"/>
      <w:szCs w:val="32"/>
    </w:rPr>
  </w:style>
  <w:style w:type="character" w:styleId="1305" w:customStyle="1">
    <w:name w:val="标题 4 Char1"/>
    <w:uiPriority w:val="0"/>
    <w:semiHidden/>
    <w:qFormat/>
    <w:rPr>
      <w:rFonts w:hint="default" w:ascii="Cambria" w:hAnsi="Cambria" w:eastAsia="宋体" w:cs="Times New Roman"/>
      <w:b/>
      <w:bCs/>
      <w:sz w:val="28"/>
      <w:szCs w:val="28"/>
    </w:rPr>
  </w:style>
  <w:style w:type="character" w:styleId="1306" w:customStyle="1">
    <w:name w:val="纯文本 Char1"/>
    <w:uiPriority w:val="0"/>
    <w:semiHidden/>
    <w:qFormat/>
    <w:rPr>
      <w:rFonts w:hint="eastAsia" w:ascii="宋体" w:hAnsi="Courier New" w:eastAsia="宋体" w:cs="Courier New"/>
      <w:szCs w:val="21"/>
    </w:rPr>
  </w:style>
  <w:style w:type="character" w:styleId="1307" w:customStyle="1">
    <w:name w:val="font101"/>
    <w:uiPriority w:val="0"/>
    <w:qFormat/>
    <w:rPr>
      <w:rFonts w:hint="default" w:ascii="Arial" w:hAnsi="Arial" w:cs="Arial"/>
      <w:color w:val="000000"/>
      <w:sz w:val="20"/>
      <w:szCs w:val="20"/>
      <w:u w:val="none"/>
    </w:rPr>
  </w:style>
  <w:style w:type="character" w:styleId="1308" w:customStyle="1">
    <w:name w:val="font211"/>
    <w:uiPriority w:val="0"/>
    <w:qFormat/>
    <w:rPr>
      <w:rFonts w:hint="eastAsia" w:ascii="宋体" w:hAnsi="宋体" w:eastAsia="宋体" w:cs="宋体"/>
      <w:color w:val="000000"/>
      <w:sz w:val="20"/>
      <w:szCs w:val="20"/>
      <w:u w:val="none"/>
    </w:rPr>
  </w:style>
  <w:style w:type="character" w:styleId="1309" w:customStyle="1">
    <w:name w:val="font181"/>
    <w:uiPriority w:val="0"/>
    <w:qFormat/>
    <w:rPr>
      <w:rFonts w:hint="default" w:ascii="Arial" w:hAnsi="Arial" w:cs="Arial"/>
      <w:color w:val="000000"/>
      <w:sz w:val="18"/>
      <w:szCs w:val="18"/>
      <w:u w:val="none"/>
    </w:rPr>
  </w:style>
  <w:style w:type="character" w:styleId="1310" w:customStyle="1">
    <w:name w:val="font171"/>
    <w:uiPriority w:val="0"/>
    <w:qFormat/>
    <w:rPr>
      <w:rFonts w:hint="eastAsia" w:ascii="宋体" w:hAnsi="宋体" w:eastAsia="宋体" w:cs="宋体"/>
      <w:color w:val="000000"/>
      <w:sz w:val="18"/>
      <w:szCs w:val="18"/>
      <w:u w:val="none"/>
    </w:rPr>
  </w:style>
  <w:style w:type="character" w:styleId="1311" w:customStyle="1">
    <w:name w:val="font91"/>
    <w:uiPriority w:val="0"/>
    <w:qFormat/>
    <w:rPr>
      <w:rFonts w:hint="eastAsia" w:ascii="宋体" w:hAnsi="宋体" w:eastAsia="宋体" w:cs="宋体"/>
      <w:color w:val="000000"/>
      <w:sz w:val="18"/>
      <w:szCs w:val="18"/>
      <w:u w:val="none"/>
    </w:rPr>
  </w:style>
  <w:style w:type="character" w:styleId="1312" w:customStyle="1">
    <w:name w:val="font111"/>
    <w:uiPriority w:val="0"/>
    <w:qFormat/>
    <w:rPr>
      <w:rFonts w:hint="eastAsia" w:ascii="宋体" w:hAnsi="宋体" w:eastAsia="宋体" w:cs="宋体"/>
      <w:color w:val="000000"/>
      <w:sz w:val="18"/>
      <w:szCs w:val="18"/>
      <w:u w:val="none"/>
    </w:rPr>
  </w:style>
  <w:style w:type="character" w:styleId="1313" w:customStyle="1">
    <w:name w:val="apple-converted-space"/>
    <w:uiPriority w:val="0"/>
    <w:qFormat/>
  </w:style>
  <w:style w:type="paragraph" w:styleId="1314" w:customStyle="1">
    <w:name w:val="xl78"/>
    <w:basedOn w:val="757"/>
    <w:uiPriority w:val="0"/>
    <w:qFormat/>
    <w:pPr>
      <w:jc w:val="center"/>
      <w:spacing w:before="100" w:beforeAutospacing="1" w:after="100" w:afterAutospacing="1"/>
      <w:widowControl/>
      <w:pBdr>
        <w:bottom w:val="single" w:color="000000" w:sz="8" w:space="0"/>
        <w:right w:val="single" w:color="000000" w:sz="8" w:space="0"/>
      </w:pBdr>
    </w:pPr>
    <w:rPr>
      <w:rFonts w:ascii="微软雅黑" w:hAnsi="微软雅黑" w:eastAsia="微软雅黑" w:cs="宋体"/>
      <w:szCs w:val="21"/>
    </w:rPr>
  </w:style>
  <w:style w:type="paragraph" w:styleId="1315" w:customStyle="1">
    <w:name w:val="xl79"/>
    <w:basedOn w:val="757"/>
    <w:uiPriority w:val="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微软雅黑" w:hAnsi="微软雅黑" w:eastAsia="微软雅黑" w:cs="宋体"/>
      <w:b/>
      <w:bCs/>
      <w:szCs w:val="21"/>
    </w:rPr>
  </w:style>
  <w:style w:type="paragraph" w:styleId="1316" w:customStyle="1">
    <w:name w:val="xl80"/>
    <w:basedOn w:val="757"/>
    <w:uiPriority w:val="0"/>
    <w:qFormat/>
    <w:pPr>
      <w:jc w:val="left"/>
      <w:spacing w:before="100" w:beforeAutospacing="1" w:after="100" w:afterAutospacing="1"/>
      <w:widowControl/>
      <w:pBdr>
        <w:bottom w:val="single" w:color="000000" w:sz="8" w:space="0"/>
        <w:right w:val="single" w:color="000000" w:sz="8" w:space="0"/>
      </w:pBdr>
    </w:pPr>
    <w:rPr>
      <w:rFonts w:ascii="微软雅黑" w:hAnsi="微软雅黑" w:eastAsia="微软雅黑" w:cs="宋体"/>
      <w:b/>
      <w:bCs/>
      <w:color w:val="000000"/>
      <w:szCs w:val="21"/>
    </w:rPr>
  </w:style>
  <w:style w:type="paragraph" w:styleId="1317" w:customStyle="1">
    <w:name w:val="xl81"/>
    <w:basedOn w:val="757"/>
    <w:uiPriority w:val="0"/>
    <w:qFormat/>
    <w:pPr>
      <w:jc w:val="left"/>
      <w:spacing w:before="100" w:beforeAutospacing="1" w:after="100" w:afterAutospacing="1"/>
      <w:widowControl/>
      <w:pBdr>
        <w:bottom w:val="single" w:color="000000" w:sz="8" w:space="0"/>
        <w:right w:val="single" w:color="000000" w:sz="8" w:space="0"/>
      </w:pBdr>
    </w:pPr>
    <w:rPr>
      <w:rFonts w:ascii="微软雅黑" w:hAnsi="微软雅黑" w:eastAsia="微软雅黑" w:cs="宋体"/>
      <w:b/>
      <w:bCs/>
      <w:color w:val="000000"/>
      <w:szCs w:val="21"/>
    </w:rPr>
  </w:style>
  <w:style w:type="paragraph" w:styleId="1318" w:customStyle="1">
    <w:name w:val="xl82"/>
    <w:basedOn w:val="757"/>
    <w:uiPriority w:val="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微软雅黑" w:hAnsi="微软雅黑" w:eastAsia="微软雅黑" w:cs="宋体"/>
      <w:sz w:val="28"/>
      <w:szCs w:val="28"/>
    </w:rPr>
  </w:style>
  <w:style w:type="paragraph" w:styleId="1319" w:customStyle="1">
    <w:name w:val="xl83"/>
    <w:basedOn w:val="757"/>
    <w:uiPriority w:val="0"/>
    <w:qFormat/>
    <w:pPr>
      <w:jc w:val="center"/>
      <w:spacing w:before="100" w:beforeAutospacing="1" w:after="100" w:afterAutospacing="1"/>
      <w:widowControl/>
      <w:pBdr>
        <w:bottom w:val="single" w:color="000000" w:sz="8" w:space="0"/>
        <w:right w:val="single" w:color="000000" w:sz="8" w:space="0"/>
      </w:pBdr>
    </w:pPr>
    <w:rPr>
      <w:rFonts w:ascii="微软雅黑" w:hAnsi="微软雅黑" w:eastAsia="微软雅黑" w:cs="宋体"/>
      <w:sz w:val="28"/>
      <w:szCs w:val="28"/>
    </w:rPr>
  </w:style>
  <w:style w:type="paragraph" w:styleId="1320" w:customStyle="1">
    <w:name w:val="xl84"/>
    <w:basedOn w:val="757"/>
    <w:uiPriority w:val="0"/>
    <w:qFormat/>
    <w:pPr>
      <w:jc w:val="left"/>
      <w:spacing w:before="100" w:beforeAutospacing="1" w:after="100" w:afterAutospacing="1"/>
      <w:widowControl/>
      <w:pBdr>
        <w:bottom w:val="single" w:color="000000" w:sz="8" w:space="0"/>
        <w:right w:val="single" w:color="000000" w:sz="8" w:space="0"/>
      </w:pBdr>
    </w:pPr>
    <w:rPr>
      <w:rFonts w:ascii="微软雅黑" w:hAnsi="微软雅黑" w:eastAsia="微软雅黑" w:cs="宋体"/>
      <w:sz w:val="24"/>
      <w:szCs w:val="24"/>
    </w:rPr>
  </w:style>
  <w:style w:type="paragraph" w:styleId="1321" w:customStyle="1">
    <w:name w:val="xl85"/>
    <w:basedOn w:val="757"/>
    <w:uiPriority w:val="0"/>
    <w:qFormat/>
    <w:pPr>
      <w:jc w:val="left"/>
      <w:spacing w:before="100" w:beforeAutospacing="1" w:after="100" w:afterAutospacing="1"/>
      <w:shd w:val="clear" w:color="000000" w:fill="dae9f7"/>
      <w:widowControl/>
      <w:pBdr>
        <w:bottom w:val="single" w:color="000000" w:sz="8" w:space="0"/>
        <w:right w:val="single" w:color="000000" w:sz="8" w:space="0"/>
      </w:pBdr>
    </w:pPr>
    <w:rPr>
      <w:rFonts w:ascii="微软雅黑" w:hAnsi="微软雅黑" w:eastAsia="微软雅黑" w:cs="宋体"/>
      <w:color w:val="000000"/>
      <w:sz w:val="24"/>
      <w:szCs w:val="24"/>
    </w:rPr>
  </w:style>
  <w:style w:type="paragraph" w:styleId="1322" w:customStyle="1">
    <w:name w:val="xl86"/>
    <w:basedOn w:val="757"/>
    <w:uiPriority w:val="0"/>
    <w:qFormat/>
    <w:pPr>
      <w:jc w:val="center"/>
      <w:spacing w:before="100" w:beforeAutospacing="1" w:after="100" w:afterAutospacing="1"/>
      <w:shd w:val="clear" w:color="000000" w:fill="dae9f7"/>
      <w:widowControl/>
      <w:pBdr>
        <w:bottom w:val="single" w:color="000000" w:sz="8" w:space="0"/>
        <w:right w:val="single" w:color="000000" w:sz="8" w:space="0"/>
      </w:pBdr>
    </w:pPr>
    <w:rPr>
      <w:rFonts w:ascii="微软雅黑" w:hAnsi="微软雅黑" w:eastAsia="微软雅黑" w:cs="宋体"/>
      <w:sz w:val="28"/>
      <w:szCs w:val="28"/>
    </w:rPr>
  </w:style>
  <w:style w:type="paragraph" w:styleId="1323" w:customStyle="1">
    <w:name w:val="xl87"/>
    <w:basedOn w:val="757"/>
    <w:uiPriority w:val="0"/>
    <w:qFormat/>
    <w:pPr>
      <w:jc w:val="left"/>
      <w:spacing w:before="100" w:beforeAutospacing="1" w:after="100" w:afterAutospacing="1"/>
      <w:widowControl/>
    </w:pPr>
    <w:rPr>
      <w:rFonts w:ascii="微软雅黑" w:hAnsi="微软雅黑" w:eastAsia="微软雅黑" w:cs="宋体"/>
      <w:b/>
      <w:bCs/>
      <w:sz w:val="24"/>
      <w:szCs w:val="24"/>
    </w:rPr>
  </w:style>
  <w:style w:type="paragraph" w:styleId="1324" w:customStyle="1">
    <w:name w:val="xl88"/>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36"/>
      <w:szCs w:val="36"/>
    </w:rPr>
  </w:style>
  <w:style w:type="paragraph" w:styleId="1325" w:customStyle="1">
    <w:name w:val="xl89"/>
    <w:basedOn w:val="757"/>
    <w:uiPriority w:val="0"/>
    <w:qFormat/>
    <w:pPr>
      <w:jc w:val="left"/>
      <w:spacing w:before="100" w:beforeAutospacing="1" w:after="100" w:afterAutospacing="1"/>
      <w:shd w:val="clear" w:color="000000" w:fill="a6a6a6"/>
      <w:widowControl/>
      <w:pBdr>
        <w:top w:val="single" w:color="000000" w:sz="8" w:space="0"/>
        <w:left w:val="single" w:color="000000" w:sz="8" w:space="0"/>
        <w:bottom w:val="single" w:color="000000" w:sz="8" w:space="0"/>
      </w:pBdr>
    </w:pPr>
    <w:rPr>
      <w:rFonts w:ascii="微软雅黑" w:hAnsi="微软雅黑" w:eastAsia="微软雅黑" w:cs="宋体"/>
      <w:b/>
      <w:bCs/>
      <w:color w:val="000000"/>
      <w:sz w:val="32"/>
      <w:szCs w:val="32"/>
    </w:rPr>
  </w:style>
  <w:style w:type="paragraph" w:styleId="1326" w:customStyle="1">
    <w:name w:val="xl90"/>
    <w:basedOn w:val="757"/>
    <w:uiPriority w:val="0"/>
    <w:qFormat/>
    <w:pPr>
      <w:jc w:val="left"/>
      <w:spacing w:before="100" w:beforeAutospacing="1" w:after="100" w:afterAutospacing="1"/>
      <w:shd w:val="clear" w:color="000000" w:fill="a6a6a6"/>
      <w:widowControl/>
      <w:pBdr>
        <w:top w:val="single" w:color="000000" w:sz="8" w:space="0"/>
        <w:bottom w:val="single" w:color="000000" w:sz="8" w:space="0"/>
        <w:right w:val="single" w:color="000000" w:sz="8" w:space="0"/>
      </w:pBdr>
    </w:pPr>
    <w:rPr>
      <w:rFonts w:ascii="微软雅黑" w:hAnsi="微软雅黑" w:eastAsia="微软雅黑" w:cs="宋体"/>
      <w:b/>
      <w:bCs/>
      <w:color w:val="000000"/>
      <w:sz w:val="32"/>
      <w:szCs w:val="32"/>
    </w:rPr>
  </w:style>
  <w:style w:type="paragraph" w:styleId="1327" w:customStyle="1">
    <w:name w:val="xl91"/>
    <w:basedOn w:val="757"/>
    <w:uiPriority w:val="0"/>
    <w:qFormat/>
    <w:pPr>
      <w:jc w:val="left"/>
      <w:spacing w:before="100" w:beforeAutospacing="1" w:after="100" w:afterAutospacing="1"/>
      <w:shd w:val="clear" w:color="000000" w:fill="ffffff"/>
      <w:widowControl/>
    </w:pPr>
    <w:rPr>
      <w:rFonts w:ascii="等线" w:hAnsi="等线" w:eastAsia="等线" w:cs="宋体"/>
      <w:b/>
      <w:bCs/>
      <w:sz w:val="24"/>
      <w:szCs w:val="24"/>
    </w:rPr>
  </w:style>
  <w:style w:type="character" w:styleId="1328" w:customStyle="1">
    <w:name w:val="列表段落 字符"/>
    <w:link w:val="967"/>
    <w:uiPriority w:val="34"/>
    <w:qFormat/>
    <w:rPr>
      <w:rFonts w:ascii="Calibri" w:hAnsi="Calibri"/>
      <w:sz w:val="21"/>
    </w:rPr>
  </w:style>
  <w:style w:type="numbering" w:styleId="13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90950F3-A251-4B04-A26E-F8492A66B26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蒋燕</cp:lastModifiedBy>
  <cp:revision>14</cp:revision>
  <dcterms:created xsi:type="dcterms:W3CDTF">2025-09-02T07:15:00Z</dcterms:created>
  <dcterms:modified xsi:type="dcterms:W3CDTF">2026-01-16T02:11:40Z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42D649D4E52A47BCA3A2C72E3B906F2D_13</vt:lpwstr>
  </property>
  <property fmtid="{D5CDD505-2E9C-101B-9397-08002B2CF9AE}" pid="4" name="KSOTemplateDocerSaveRecord">
    <vt:lpwstr>eyJoZGlkIjoiMzIyYjFkZjJmODViY2Q5MDdjNjE4ZWMyZGYxYmU2ZjEiLCJ1c2VySWQiOiIxMDA0Mjg5NjIxIn0=</vt:lpwstr>
  </property>
</Properties>
</file>